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745" w:rsidRDefault="00D33745" w:rsidP="00D33745">
      <w:pPr>
        <w:pStyle w:val="Header"/>
        <w:tabs>
          <w:tab w:val="clear" w:pos="4513"/>
          <w:tab w:val="clear" w:pos="9026"/>
        </w:tabs>
        <w:spacing w:after="200" w:line="276" w:lineRule="auto"/>
        <w:rPr>
          <w:rFonts w:ascii="Open Sans" w:hAnsi="Open Sans" w:cs="Open Sans"/>
        </w:rPr>
      </w:pPr>
      <w:r w:rsidRPr="00DB64BA">
        <w:rPr>
          <w:rFonts w:ascii="Open Sans" w:hAnsi="Open Sans" w:cs="Open Sans"/>
          <w:noProof/>
          <w:lang w:val="en-US"/>
        </w:rPr>
        <mc:AlternateContent>
          <mc:Choice Requires="wps">
            <w:drawing>
              <wp:anchor distT="0" distB="0" distL="114300" distR="114300" simplePos="0" relativeHeight="251660800" behindDoc="0" locked="0" layoutInCell="1" allowOverlap="1" wp14:anchorId="0B73BD22" wp14:editId="722B7C8B">
                <wp:simplePos x="0" y="0"/>
                <wp:positionH relativeFrom="column">
                  <wp:posOffset>5909599</wp:posOffset>
                </wp:positionH>
                <wp:positionV relativeFrom="paragraph">
                  <wp:posOffset>-693964</wp:posOffset>
                </wp:positionV>
                <wp:extent cx="3076575" cy="902524"/>
                <wp:effectExtent l="0" t="0" r="28575" b="1206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902524"/>
                        </a:xfrm>
                        <a:prstGeom prst="rect">
                          <a:avLst/>
                        </a:prstGeom>
                        <a:solidFill>
                          <a:srgbClr val="FFFFFF"/>
                        </a:solidFill>
                        <a:ln w="9525">
                          <a:solidFill>
                            <a:srgbClr val="000000"/>
                          </a:solidFill>
                          <a:miter lim="800000"/>
                          <a:headEnd/>
                          <a:tailEnd/>
                        </a:ln>
                      </wps:spPr>
                      <wps:txbx>
                        <w:txbxContent>
                          <w:p w:rsidR="00D33745" w:rsidRDefault="00D33745" w:rsidP="00D33745">
                            <w:pPr>
                              <w:pStyle w:val="Heading2"/>
                            </w:pPr>
                            <w:r>
                              <w:t>Acquisition of a CT scanner</w:t>
                            </w:r>
                          </w:p>
                          <w:p w:rsidR="00B06E69" w:rsidRDefault="00B06E69" w:rsidP="00B06E69">
                            <w:pPr>
                              <w:pStyle w:val="NoSpacing"/>
                              <w:rPr>
                                <w:rFonts w:ascii="Open Sans" w:hAnsi="Open Sans" w:cs="Open Sans"/>
                                <w:sz w:val="22"/>
                              </w:rPr>
                            </w:pPr>
                            <w:proofErr w:type="spellStart"/>
                            <w:r>
                              <w:rPr>
                                <w:rFonts w:ascii="Open Sans" w:hAnsi="Open Sans" w:cs="Open Sans"/>
                                <w:sz w:val="22"/>
                              </w:rPr>
                              <w:t>Ref</w:t>
                            </w:r>
                            <w:proofErr w:type="spellEnd"/>
                            <w:r>
                              <w:rPr>
                                <w:rFonts w:ascii="Open Sans" w:hAnsi="Open Sans" w:cs="Open Sans"/>
                                <w:sz w:val="22"/>
                              </w:rPr>
                              <w:t>. 2017/S 249-526225</w:t>
                            </w:r>
                          </w:p>
                          <w:p w:rsidR="00B06E69" w:rsidRPr="00D5502A" w:rsidRDefault="00B06E69" w:rsidP="00B06E69">
                            <w:pPr>
                              <w:pStyle w:val="NoSpacing"/>
                              <w:rPr>
                                <w:rFonts w:ascii="Open Sans" w:hAnsi="Open Sans" w:cs="Open Sans"/>
                                <w:sz w:val="22"/>
                              </w:rPr>
                            </w:pPr>
                            <w:r>
                              <w:rPr>
                                <w:rFonts w:ascii="Open Sans" w:hAnsi="Open Sans" w:cs="Open Sans"/>
                                <w:sz w:val="22"/>
                              </w:rPr>
                              <w:t>Date: 03/04/2018</w:t>
                            </w:r>
                          </w:p>
                          <w:p w:rsidR="00D33745" w:rsidRDefault="00D33745" w:rsidP="00D3374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73BD22" id="_x0000_t202" coordsize="21600,21600" o:spt="202" path="m,l,21600r21600,l21600,xe">
                <v:stroke joinstyle="miter"/>
                <v:path gradientshapeok="t" o:connecttype="rect"/>
              </v:shapetype>
              <v:shape id="Text Box 2" o:spid="_x0000_s1026" type="#_x0000_t202" style="position:absolute;margin-left:465.3pt;margin-top:-54.65pt;width:242.25pt;height:71.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yegIgIAAEUEAAAOAAAAZHJzL2Uyb0RvYy54bWysU9tu2zAMfR+wfxD0vtjx4qYx4hRdugwD&#10;ugvQ7gNkWY6FSaInKbGzry8lu1l2exmmB4EUqUPykFzfDFqRo7BOginpfJZSIgyHWpp9Sb887l5d&#10;U+I8MzVTYERJT8LRm83LF+u+K0QGLahaWIIgxhV9V9LW+65IEsdboZmbQScMGhuwmnlU7T6pLesR&#10;XaskS9OrpAdbdxa4cA5f70Yj3UT8phHcf2oaJzxRJcXcfLxtvKtwJ5s1K/aWda3kUxrsH7LQTBoM&#10;eoa6Y56Rg5W/QWnJLTho/IyDTqBpJBexBqxmnv5SzUPLOhFrQXJcd6bJ/T9Y/vH42RJZY+9WlBim&#10;sUePYvDkDQwkC/T0nSvQ66FDPz/gM7rGUl13D/yrIwa2LTN7cWst9K1gNaY3Dz+Ti68jjgsgVf8B&#10;agzDDh4i0NBYHbhDNgiiY5tO59aEVDg+vk6XV/kyp4SjbZVmebaIIVjx/Luzzr8ToEkQSmqx9RGd&#10;He+dD9mw4tklBHOgZL2TSkXF7qutsuTIcEx28UzoP7kpQ3qMnmf5SMBfIdJ4/gShpcd5V1KX9Prs&#10;xIpA21tTx2n0TKpRxpSVmXgM1I0k+qEapr5UUJ+QUQvjXOMeotCC/U5JjzNdUvftwKygRL032JXV&#10;fLEISxCVRb7MULGXlurSwgxHqJJ6SkZx6+PiBMIM3GL3GhmJDW0eM5lyxVmNfE97FZbhUo9eP7Z/&#10;8wQAAP//AwBQSwMEFAAGAAgAAAAhALscnyDiAAAADAEAAA8AAABkcnMvZG93bnJldi54bWxMj8FO&#10;wzAQRO9I/IO1SFxQa6cpIQnZVAgJBDcoCK5u7CYR8TrYbhr+HvcEx9U8zbytNrMZ2KSd7y0hJEsB&#10;TFNjVU8twvvbwyIH5oMkJQdLGuFHe9jU52eVLJU90quetqFlsYR8KRG6EMaSc9902ki/tKOmmO2t&#10;MzLE07VcOXmM5WbgKyEybmRPcaGTo77vdPO1PRiEfP00ffrn9OWjyfZDEa5upsdvh3h5Md/dAgt6&#10;Dn8wnPSjOtTRaWcPpDwbEIpUZBFFWCSiSIGdkHVynQDbIaSrHHhd8f9P1L8AAAD//wMAUEsBAi0A&#10;FAAGAAgAAAAhALaDOJL+AAAA4QEAABMAAAAAAAAAAAAAAAAAAAAAAFtDb250ZW50X1R5cGVzXS54&#10;bWxQSwECLQAUAAYACAAAACEAOP0h/9YAAACUAQAACwAAAAAAAAAAAAAAAAAvAQAAX3JlbHMvLnJl&#10;bHNQSwECLQAUAAYACAAAACEAnVcnoCICAABFBAAADgAAAAAAAAAAAAAAAAAuAgAAZHJzL2Uyb0Rv&#10;Yy54bWxQSwECLQAUAAYACAAAACEAuxyfIOIAAAAMAQAADwAAAAAAAAAAAAAAAAB8BAAAZHJzL2Rv&#10;d25yZXYueG1sUEsFBgAAAAAEAAQA8wAAAIsFAAAAAA==&#10;">
                <v:textbox>
                  <w:txbxContent>
                    <w:p w:rsidR="00D33745" w:rsidRDefault="00D33745" w:rsidP="00D33745">
                      <w:pPr>
                        <w:pStyle w:val="Heading2"/>
                      </w:pPr>
                      <w:r>
                        <w:t>Acquisition of a CT scanner</w:t>
                      </w:r>
                    </w:p>
                    <w:p w:rsidR="00B06E69" w:rsidRDefault="00B06E69" w:rsidP="00B06E69">
                      <w:pPr>
                        <w:pStyle w:val="NoSpacing"/>
                        <w:rPr>
                          <w:rFonts w:ascii="Open Sans" w:hAnsi="Open Sans" w:cs="Open Sans"/>
                          <w:sz w:val="22"/>
                        </w:rPr>
                      </w:pPr>
                      <w:proofErr w:type="spellStart"/>
                      <w:r>
                        <w:rPr>
                          <w:rFonts w:ascii="Open Sans" w:hAnsi="Open Sans" w:cs="Open Sans"/>
                          <w:sz w:val="22"/>
                        </w:rPr>
                        <w:t>Ref</w:t>
                      </w:r>
                      <w:proofErr w:type="spellEnd"/>
                      <w:r>
                        <w:rPr>
                          <w:rFonts w:ascii="Open Sans" w:hAnsi="Open Sans" w:cs="Open Sans"/>
                          <w:sz w:val="22"/>
                        </w:rPr>
                        <w:t>. 2017/S 249-526225</w:t>
                      </w:r>
                    </w:p>
                    <w:p w:rsidR="00B06E69" w:rsidRPr="00D5502A" w:rsidRDefault="00B06E69" w:rsidP="00B06E69">
                      <w:pPr>
                        <w:pStyle w:val="NoSpacing"/>
                        <w:rPr>
                          <w:rFonts w:ascii="Open Sans" w:hAnsi="Open Sans" w:cs="Open Sans"/>
                          <w:sz w:val="22"/>
                        </w:rPr>
                      </w:pPr>
                      <w:r>
                        <w:rPr>
                          <w:rFonts w:ascii="Open Sans" w:hAnsi="Open Sans" w:cs="Open Sans"/>
                          <w:sz w:val="22"/>
                        </w:rPr>
                        <w:t>Date: 03/04/2018</w:t>
                      </w:r>
                    </w:p>
                    <w:p w:rsidR="00D33745" w:rsidRDefault="00D33745" w:rsidP="00D33745"/>
                  </w:txbxContent>
                </v:textbox>
              </v:shape>
            </w:pict>
          </mc:Fallback>
        </mc:AlternateContent>
      </w:r>
    </w:p>
    <w:tbl>
      <w:tblPr>
        <w:tblStyle w:val="TableGrid"/>
        <w:tblpPr w:leftFromText="180" w:rightFromText="180" w:vertAnchor="text" w:horzAnchor="margin" w:tblpXSpec="center" w:tblpY="781"/>
        <w:tblW w:w="15408" w:type="dxa"/>
        <w:tblLayout w:type="fixed"/>
        <w:tblLook w:val="04A0" w:firstRow="1" w:lastRow="0" w:firstColumn="1" w:lastColumn="0" w:noHBand="0" w:noVBand="1"/>
      </w:tblPr>
      <w:tblGrid>
        <w:gridCol w:w="7758"/>
        <w:gridCol w:w="7650"/>
      </w:tblGrid>
      <w:tr w:rsidR="00D33745" w:rsidRPr="007C1E20" w:rsidTr="000C1836">
        <w:tc>
          <w:tcPr>
            <w:tcW w:w="7758" w:type="dxa"/>
          </w:tcPr>
          <w:p w:rsidR="00D33745" w:rsidRPr="007C1E20" w:rsidRDefault="00D33745" w:rsidP="000C1836">
            <w:pPr>
              <w:jc w:val="both"/>
              <w:rPr>
                <w:rFonts w:cstheme="minorHAnsi"/>
                <w:sz w:val="24"/>
                <w:szCs w:val="24"/>
              </w:rPr>
            </w:pPr>
            <w:r w:rsidRPr="007C1E20">
              <w:rPr>
                <w:rFonts w:cstheme="minorHAnsi"/>
                <w:sz w:val="24"/>
                <w:szCs w:val="24"/>
              </w:rPr>
              <w:t>Question:</w:t>
            </w:r>
          </w:p>
        </w:tc>
        <w:tc>
          <w:tcPr>
            <w:tcW w:w="7650" w:type="dxa"/>
          </w:tcPr>
          <w:p w:rsidR="00D33745" w:rsidRPr="007C1E20" w:rsidRDefault="00D33745" w:rsidP="000C1836">
            <w:pPr>
              <w:jc w:val="both"/>
              <w:rPr>
                <w:rFonts w:cstheme="minorHAnsi"/>
                <w:sz w:val="24"/>
                <w:szCs w:val="24"/>
              </w:rPr>
            </w:pPr>
            <w:r w:rsidRPr="007C1E20">
              <w:rPr>
                <w:rFonts w:cstheme="minorHAnsi"/>
                <w:sz w:val="24"/>
                <w:szCs w:val="24"/>
              </w:rPr>
              <w:t>Answer:</w:t>
            </w:r>
          </w:p>
        </w:tc>
      </w:tr>
      <w:tr w:rsidR="00D33745" w:rsidRPr="007C1E20" w:rsidTr="000C1836">
        <w:tc>
          <w:tcPr>
            <w:tcW w:w="7758" w:type="dxa"/>
          </w:tcPr>
          <w:p w:rsidR="00D33745" w:rsidRPr="007C1E20" w:rsidRDefault="00D33745" w:rsidP="000C1836">
            <w:pPr>
              <w:jc w:val="both"/>
              <w:rPr>
                <w:rFonts w:cstheme="minorHAnsi"/>
                <w:sz w:val="24"/>
                <w:szCs w:val="24"/>
              </w:rPr>
            </w:pPr>
            <w:r w:rsidRPr="007C1E20">
              <w:rPr>
                <w:rFonts w:cstheme="minorHAnsi"/>
                <w:sz w:val="24"/>
                <w:szCs w:val="24"/>
              </w:rPr>
              <w:t xml:space="preserve">In accordance with article 10 para 3 from EU Regulation </w:t>
            </w:r>
            <w:r w:rsidRPr="007C1E20">
              <w:rPr>
                <w:rFonts w:cstheme="minorHAnsi"/>
                <w:i/>
                <w:iCs/>
                <w:sz w:val="24"/>
                <w:szCs w:val="24"/>
              </w:rPr>
              <w:t xml:space="preserve">236/2014 </w:t>
            </w:r>
            <w:r w:rsidRPr="007C1E20">
              <w:rPr>
                <w:rFonts w:cstheme="minorHAnsi"/>
                <w:sz w:val="24"/>
                <w:szCs w:val="24"/>
              </w:rPr>
              <w:t xml:space="preserve">laying down common rules and procedures for the implementation of the Union's instruments for financing external action "For actions implemented in shared management, the relevant Member State to which the Commission has delegated implementation tasks shall be entitled to accept as eligible, on behalf of the Commission, tenderers, applicants and candidates from non-eligible countries as referred to in paragraph 2 of this Article, or goods from a non-eligible origin as referred to in Article 8(4)". </w:t>
            </w:r>
            <w:proofErr w:type="spellStart"/>
            <w:r w:rsidRPr="007C1E20">
              <w:rPr>
                <w:rFonts w:cstheme="minorHAnsi"/>
                <w:sz w:val="24"/>
                <w:szCs w:val="24"/>
              </w:rPr>
              <w:t>Interreg</w:t>
            </w:r>
            <w:proofErr w:type="spellEnd"/>
            <w:r w:rsidRPr="007C1E20">
              <w:rPr>
                <w:rFonts w:cstheme="minorHAnsi"/>
                <w:sz w:val="24"/>
                <w:szCs w:val="24"/>
              </w:rPr>
              <w:t xml:space="preserve">-IPA Cross-Border Cooperation Romania-Serbia program is an action implemented in shared management, between a member state and a non-member state. The EU regulation no. </w:t>
            </w:r>
            <w:r w:rsidRPr="007C1E20">
              <w:rPr>
                <w:rFonts w:cstheme="minorHAnsi"/>
                <w:i/>
                <w:iCs/>
                <w:sz w:val="24"/>
                <w:szCs w:val="24"/>
              </w:rPr>
              <w:t xml:space="preserve">236/2014 </w:t>
            </w:r>
            <w:r w:rsidRPr="007C1E20">
              <w:rPr>
                <w:rFonts w:cstheme="minorHAnsi"/>
                <w:sz w:val="24"/>
                <w:szCs w:val="24"/>
              </w:rPr>
              <w:t>is also known as CIR (Common Implementation Rules) for all the Union's instruments for financing external action, such as Cross-border programs or any national programs. Moreover, please find attached a document issued by European Commission services on rule of origin rule under the new programs. This document is also available at the following link</w:t>
            </w:r>
            <w:r>
              <w:rPr>
                <w:rFonts w:cstheme="minorHAnsi"/>
                <w:sz w:val="24"/>
                <w:szCs w:val="24"/>
              </w:rPr>
              <w:t xml:space="preserve"> </w:t>
            </w:r>
            <w:r w:rsidRPr="007C1E20">
              <w:rPr>
                <w:rFonts w:cstheme="minorHAnsi"/>
                <w:sz w:val="24"/>
                <w:szCs w:val="24"/>
              </w:rPr>
              <w:t>https:llwebgate.ec.europa.eu/europeaid/prospectlinternal/noauth/externalDocumentDownload.htm?id=104074&amp;lang=en</w:t>
            </w:r>
          </w:p>
          <w:p w:rsidR="00D33745" w:rsidRPr="007C1E20" w:rsidRDefault="00D33745" w:rsidP="000C1836">
            <w:pPr>
              <w:autoSpaceDE w:val="0"/>
              <w:autoSpaceDN w:val="0"/>
              <w:adjustRightInd w:val="0"/>
              <w:jc w:val="both"/>
              <w:rPr>
                <w:rFonts w:cstheme="minorHAnsi"/>
                <w:sz w:val="24"/>
                <w:szCs w:val="24"/>
              </w:rPr>
            </w:pPr>
            <w:r w:rsidRPr="007C1E20">
              <w:rPr>
                <w:rFonts w:cstheme="minorHAnsi"/>
                <w:sz w:val="24"/>
                <w:szCs w:val="24"/>
              </w:rPr>
              <w:t>As per the document attached called "Rules on participation in procurement procedures and grants" (page 3) The CIR also provides for rules on how to reconcile its nationality rules with those of another entity or another Instrument involved in the project:</w:t>
            </w:r>
          </w:p>
          <w:p w:rsidR="00D33745" w:rsidRPr="007C1E20" w:rsidRDefault="00D33745" w:rsidP="000C1836">
            <w:pPr>
              <w:autoSpaceDE w:val="0"/>
              <w:autoSpaceDN w:val="0"/>
              <w:adjustRightInd w:val="0"/>
              <w:jc w:val="both"/>
              <w:rPr>
                <w:rFonts w:cstheme="minorHAnsi"/>
                <w:sz w:val="24"/>
                <w:szCs w:val="24"/>
              </w:rPr>
            </w:pPr>
            <w:r w:rsidRPr="007C1E20">
              <w:rPr>
                <w:rFonts w:cstheme="minorHAnsi"/>
                <w:sz w:val="24"/>
                <w:szCs w:val="24"/>
              </w:rPr>
              <w:t xml:space="preserve">b) In the case of actions implemented under shared management with a Member States, countries that are eligible under the rules of that Member </w:t>
            </w:r>
            <w:r w:rsidRPr="007C1E20">
              <w:rPr>
                <w:rFonts w:cstheme="minorHAnsi"/>
                <w:sz w:val="24"/>
                <w:szCs w:val="24"/>
              </w:rPr>
              <w:lastRenderedPageBreak/>
              <w:t>State are also eligible.</w:t>
            </w:r>
          </w:p>
          <w:p w:rsidR="00D33745" w:rsidRDefault="00D33745" w:rsidP="000C1836">
            <w:pPr>
              <w:autoSpaceDE w:val="0"/>
              <w:autoSpaceDN w:val="0"/>
              <w:adjustRightInd w:val="0"/>
              <w:jc w:val="both"/>
              <w:rPr>
                <w:rFonts w:cstheme="minorHAnsi"/>
                <w:sz w:val="24"/>
                <w:szCs w:val="24"/>
              </w:rPr>
            </w:pPr>
            <w:r w:rsidRPr="007C1E20">
              <w:rPr>
                <w:rFonts w:cstheme="minorHAnsi"/>
                <w:sz w:val="24"/>
                <w:szCs w:val="24"/>
              </w:rPr>
              <w:t xml:space="preserve">It is worthwhile to mention that the EU rule of origin is applying for purchasing goods above 100,000 Euro, but this rule is applied also in </w:t>
            </w:r>
          </w:p>
          <w:p w:rsidR="00D33745" w:rsidRDefault="00D33745" w:rsidP="000C1836">
            <w:pPr>
              <w:autoSpaceDE w:val="0"/>
              <w:autoSpaceDN w:val="0"/>
              <w:adjustRightInd w:val="0"/>
              <w:jc w:val="both"/>
              <w:rPr>
                <w:rFonts w:cstheme="minorHAnsi"/>
                <w:sz w:val="24"/>
                <w:szCs w:val="24"/>
              </w:rPr>
            </w:pPr>
          </w:p>
          <w:p w:rsidR="00D33745" w:rsidRDefault="00D33745" w:rsidP="000C1836">
            <w:pPr>
              <w:autoSpaceDE w:val="0"/>
              <w:autoSpaceDN w:val="0"/>
              <w:adjustRightInd w:val="0"/>
              <w:jc w:val="both"/>
              <w:rPr>
                <w:rFonts w:cstheme="minorHAnsi"/>
                <w:sz w:val="24"/>
                <w:szCs w:val="24"/>
              </w:rPr>
            </w:pPr>
          </w:p>
          <w:p w:rsidR="00D33745" w:rsidRPr="007C1E20" w:rsidRDefault="00D33745" w:rsidP="000C1836">
            <w:pPr>
              <w:autoSpaceDE w:val="0"/>
              <w:autoSpaceDN w:val="0"/>
              <w:adjustRightInd w:val="0"/>
              <w:jc w:val="both"/>
              <w:rPr>
                <w:rFonts w:cstheme="minorHAnsi"/>
                <w:sz w:val="24"/>
                <w:szCs w:val="24"/>
              </w:rPr>
            </w:pPr>
            <w:r w:rsidRPr="007C1E20">
              <w:rPr>
                <w:rFonts w:cstheme="minorHAnsi"/>
                <w:sz w:val="24"/>
                <w:szCs w:val="24"/>
              </w:rPr>
              <w:t xml:space="preserve">connection with the provisions of the EU Regulation no. </w:t>
            </w:r>
            <w:r w:rsidRPr="007C1E20">
              <w:rPr>
                <w:rFonts w:cstheme="minorHAnsi"/>
                <w:i/>
                <w:iCs/>
                <w:sz w:val="24"/>
                <w:szCs w:val="24"/>
              </w:rPr>
              <w:t xml:space="preserve">236/2014, </w:t>
            </w:r>
            <w:r w:rsidRPr="007C1E20">
              <w:rPr>
                <w:rFonts w:cstheme="minorHAnsi"/>
                <w:sz w:val="24"/>
                <w:szCs w:val="24"/>
              </w:rPr>
              <w:t>which for programs with shared management is clearly stating that</w:t>
            </w:r>
          </w:p>
          <w:p w:rsidR="00D33745" w:rsidRPr="007C1E20" w:rsidRDefault="00D33745" w:rsidP="000C1836">
            <w:pPr>
              <w:autoSpaceDE w:val="0"/>
              <w:autoSpaceDN w:val="0"/>
              <w:adjustRightInd w:val="0"/>
              <w:jc w:val="both"/>
              <w:rPr>
                <w:rFonts w:cstheme="minorHAnsi"/>
                <w:sz w:val="24"/>
                <w:szCs w:val="24"/>
              </w:rPr>
            </w:pPr>
            <w:proofErr w:type="gramStart"/>
            <w:r w:rsidRPr="007C1E20">
              <w:rPr>
                <w:rFonts w:cstheme="minorHAnsi"/>
                <w:sz w:val="24"/>
                <w:szCs w:val="24"/>
              </w:rPr>
              <w:t>the</w:t>
            </w:r>
            <w:proofErr w:type="gramEnd"/>
            <w:r w:rsidRPr="007C1E20">
              <w:rPr>
                <w:rFonts w:cstheme="minorHAnsi"/>
                <w:sz w:val="24"/>
                <w:szCs w:val="24"/>
              </w:rPr>
              <w:t xml:space="preserve"> rules to be applied are the ones of the member state. The present procedure clearly exceeds the threshold of 100,000 Euro but has to be interpreted in the light of the EU Regulation no. </w:t>
            </w:r>
            <w:r w:rsidRPr="007C1E20">
              <w:rPr>
                <w:rFonts w:cstheme="minorHAnsi"/>
                <w:i/>
                <w:iCs/>
                <w:sz w:val="24"/>
                <w:szCs w:val="24"/>
              </w:rPr>
              <w:t xml:space="preserve">236/2014 </w:t>
            </w:r>
            <w:r w:rsidRPr="007C1E20">
              <w:rPr>
                <w:rFonts w:cstheme="minorHAnsi"/>
                <w:sz w:val="24"/>
                <w:szCs w:val="24"/>
              </w:rPr>
              <w:t>for shared managed programs. In Romania - the member state which Serbia is sharing the management of the program with, there are no legally imposed restrictions of such case (rule of origin) for participating in public procurements. "</w:t>
            </w:r>
          </w:p>
          <w:p w:rsidR="00D33745" w:rsidRPr="007C1E20" w:rsidRDefault="00D33745" w:rsidP="000C1836">
            <w:pPr>
              <w:autoSpaceDE w:val="0"/>
              <w:autoSpaceDN w:val="0"/>
              <w:adjustRightInd w:val="0"/>
              <w:jc w:val="both"/>
              <w:rPr>
                <w:rFonts w:cstheme="minorHAnsi"/>
                <w:sz w:val="24"/>
                <w:szCs w:val="24"/>
              </w:rPr>
            </w:pPr>
            <w:r w:rsidRPr="007C1E20">
              <w:rPr>
                <w:rFonts w:cstheme="minorHAnsi"/>
                <w:sz w:val="24"/>
                <w:szCs w:val="24"/>
              </w:rPr>
              <w:t>Question 1. As a consequence of the above-mentioned, we are writing clarification letter to check with this issue and to confirm that no EU rule of origin has to be applied in this case. Moreover, we would stress also that such an international open tender will be meaningless by applying the EU rule of origin since there is only one company that meets the EU rule of origin.</w:t>
            </w:r>
          </w:p>
          <w:p w:rsidR="00D33745" w:rsidRPr="007C1E20" w:rsidRDefault="00D33745" w:rsidP="000C1836">
            <w:pPr>
              <w:autoSpaceDE w:val="0"/>
              <w:autoSpaceDN w:val="0"/>
              <w:adjustRightInd w:val="0"/>
              <w:jc w:val="both"/>
              <w:rPr>
                <w:rFonts w:cstheme="minorHAnsi"/>
                <w:sz w:val="24"/>
                <w:szCs w:val="24"/>
              </w:rPr>
            </w:pPr>
            <w:r w:rsidRPr="007C1E20">
              <w:rPr>
                <w:rFonts w:cstheme="minorHAnsi"/>
                <w:sz w:val="24"/>
                <w:szCs w:val="24"/>
              </w:rPr>
              <w:t>Under these circumstances the international open tender is actually transformed into a direct purchase. This really contradicts with the principle of sound competition which is promoted by the Practical Guide, governing the present procurement. Please confirm that Japanese origin of offered CT scanner is acceptable on this tender?</w:t>
            </w:r>
          </w:p>
        </w:tc>
        <w:tc>
          <w:tcPr>
            <w:tcW w:w="7650" w:type="dxa"/>
          </w:tcPr>
          <w:p w:rsidR="00D33745" w:rsidRPr="007C1E20" w:rsidRDefault="00D33745" w:rsidP="000C1836">
            <w:pPr>
              <w:jc w:val="both"/>
              <w:rPr>
                <w:rFonts w:cstheme="minorHAnsi"/>
                <w:sz w:val="24"/>
                <w:szCs w:val="24"/>
              </w:rPr>
            </w:pPr>
            <w:r w:rsidRPr="007C1E20">
              <w:rPr>
                <w:rFonts w:cstheme="minorHAnsi"/>
                <w:sz w:val="24"/>
                <w:szCs w:val="24"/>
              </w:rPr>
              <w:lastRenderedPageBreak/>
              <w:t>Considering Your inquiry regarding the eligibility of the supplies to be offered for our procurement of an CT scan</w:t>
            </w:r>
            <w:bookmarkStart w:id="0" w:name="_GoBack"/>
            <w:bookmarkEnd w:id="0"/>
            <w:r w:rsidRPr="007C1E20">
              <w:rPr>
                <w:rFonts w:cstheme="minorHAnsi"/>
                <w:sz w:val="24"/>
                <w:szCs w:val="24"/>
              </w:rPr>
              <w:t>ner, ref. 2017/S 249-526225, we are sorry to inform you that supplies originating from Japan are not eligible for our procurement (if the offered costs more than 100.000 EUR) and for the entire INTERREG IPA CBC Romania-Serbia Programme.</w:t>
            </w:r>
          </w:p>
          <w:p w:rsidR="00D33745" w:rsidRPr="007C1E20" w:rsidRDefault="00D33745" w:rsidP="000C1836">
            <w:pPr>
              <w:jc w:val="both"/>
              <w:rPr>
                <w:rFonts w:cstheme="minorHAnsi"/>
                <w:sz w:val="24"/>
                <w:szCs w:val="24"/>
              </w:rPr>
            </w:pPr>
          </w:p>
          <w:p w:rsidR="00D33745" w:rsidRPr="007C1E20" w:rsidRDefault="00D33745" w:rsidP="000C1836">
            <w:pPr>
              <w:jc w:val="both"/>
              <w:rPr>
                <w:rFonts w:cstheme="minorHAnsi"/>
                <w:sz w:val="24"/>
                <w:szCs w:val="24"/>
              </w:rPr>
            </w:pPr>
            <w:r w:rsidRPr="007C1E20">
              <w:rPr>
                <w:rFonts w:cstheme="minorHAnsi"/>
                <w:sz w:val="24"/>
                <w:szCs w:val="24"/>
              </w:rPr>
              <w:t>Document “PUBLIC PROCUREMENT PROCEDURES FOR BENEFICIARIES ON INTERREG IPA CBC PROGRAMME ROMANIA – SERBIA” on page 16 states:</w:t>
            </w:r>
          </w:p>
          <w:p w:rsidR="00D33745" w:rsidRPr="007C1E20" w:rsidRDefault="00D33745" w:rsidP="000C1836">
            <w:pPr>
              <w:jc w:val="both"/>
              <w:rPr>
                <w:rFonts w:cstheme="minorHAnsi"/>
                <w:sz w:val="24"/>
                <w:szCs w:val="24"/>
              </w:rPr>
            </w:pPr>
            <w:r w:rsidRPr="007C1E20">
              <w:rPr>
                <w:rFonts w:cstheme="minorHAnsi"/>
                <w:sz w:val="24"/>
                <w:szCs w:val="24"/>
              </w:rPr>
              <w:t>Origin</w:t>
            </w:r>
          </w:p>
          <w:p w:rsidR="00D33745" w:rsidRPr="007C1E20" w:rsidRDefault="00D33745" w:rsidP="000C1836">
            <w:pPr>
              <w:jc w:val="both"/>
              <w:rPr>
                <w:rFonts w:cstheme="minorHAnsi"/>
                <w:sz w:val="24"/>
                <w:szCs w:val="24"/>
              </w:rPr>
            </w:pPr>
            <w:r w:rsidRPr="007C1E20">
              <w:rPr>
                <w:rFonts w:cstheme="minorHAnsi"/>
                <w:sz w:val="24"/>
                <w:szCs w:val="24"/>
              </w:rPr>
              <w:t>All supplies purchased under a procurement contract, or in accordance with a grant contract, financed under the EU budget or the EDF shall originate from an eligible country as per the corresponding Instrument. For the complete list of eligible countries please refer to Annex A2a to the PRAG. However, according to the CIR, when the value of the supplies to be purchased is below 100.000 € per purchase, the supplies do not have to originate from an eligible country. Therefore, the products can originate from any origin (full untying) if their value is below the threshold of the competitive negotiated procedure - EUR 100 000. The amount of any ancillary works and services is not taken into account.</w:t>
            </w:r>
          </w:p>
          <w:p w:rsidR="00D33745" w:rsidRPr="007C1E20" w:rsidRDefault="00D33745" w:rsidP="000C1836">
            <w:pPr>
              <w:jc w:val="both"/>
              <w:rPr>
                <w:rFonts w:cstheme="minorHAnsi"/>
                <w:sz w:val="24"/>
                <w:szCs w:val="24"/>
              </w:rPr>
            </w:pPr>
          </w:p>
          <w:p w:rsidR="00D33745" w:rsidRPr="007C1E20" w:rsidRDefault="00D33745" w:rsidP="000C1836">
            <w:pPr>
              <w:jc w:val="both"/>
              <w:rPr>
                <w:rFonts w:cstheme="minorHAnsi"/>
                <w:sz w:val="24"/>
                <w:szCs w:val="24"/>
              </w:rPr>
            </w:pPr>
            <w:r w:rsidRPr="007C1E20">
              <w:rPr>
                <w:rFonts w:cstheme="minorHAnsi"/>
                <w:sz w:val="24"/>
                <w:szCs w:val="24"/>
              </w:rPr>
              <w:t>The document “Annex A2a to the PRAG: RULES ON PARTICIPATION IN PROCUREMENT PROCEDURES AND GRANTS” on page 3 states:</w:t>
            </w:r>
          </w:p>
          <w:p w:rsidR="00D33745" w:rsidRPr="007C1E20" w:rsidRDefault="00D33745" w:rsidP="000C1836">
            <w:pPr>
              <w:jc w:val="both"/>
              <w:rPr>
                <w:rFonts w:cstheme="minorHAnsi"/>
                <w:sz w:val="24"/>
                <w:szCs w:val="24"/>
              </w:rPr>
            </w:pPr>
            <w:r w:rsidRPr="007C1E20">
              <w:rPr>
                <w:rFonts w:cstheme="minorHAnsi"/>
                <w:sz w:val="24"/>
                <w:szCs w:val="24"/>
              </w:rPr>
              <w:t>3)</w:t>
            </w:r>
            <w:r w:rsidRPr="007C1E20">
              <w:rPr>
                <w:rFonts w:cstheme="minorHAnsi"/>
                <w:sz w:val="24"/>
                <w:szCs w:val="24"/>
              </w:rPr>
              <w:tab/>
              <w:t xml:space="preserve">for IPA II (CIR - Article 10) </w:t>
            </w:r>
          </w:p>
          <w:p w:rsidR="00D33745" w:rsidRPr="007C1E20" w:rsidRDefault="00D33745" w:rsidP="000C1836">
            <w:pPr>
              <w:jc w:val="both"/>
              <w:rPr>
                <w:rFonts w:cstheme="minorHAnsi"/>
                <w:sz w:val="24"/>
                <w:szCs w:val="24"/>
              </w:rPr>
            </w:pPr>
            <w:r w:rsidRPr="007C1E20">
              <w:rPr>
                <w:rFonts w:cstheme="minorHAnsi"/>
                <w:sz w:val="24"/>
                <w:szCs w:val="24"/>
              </w:rPr>
              <w:t xml:space="preserve">Participation in the award of procurement contracts, grants and other </w:t>
            </w:r>
            <w:r w:rsidRPr="007C1E20">
              <w:rPr>
                <w:rFonts w:cstheme="minorHAnsi"/>
                <w:sz w:val="24"/>
                <w:szCs w:val="24"/>
              </w:rPr>
              <w:lastRenderedPageBreak/>
              <w:t>award procedures for actions financed under the CIR for IPA II for the benefit of third parties shall be open to all natural persons who are nationals of, and legal persons who are effectively established in, one of the following eligible countries/ territories/beneficiaries:</w:t>
            </w:r>
          </w:p>
          <w:p w:rsidR="00D33745" w:rsidRPr="007C1E20" w:rsidRDefault="00D33745" w:rsidP="000C1836">
            <w:pPr>
              <w:jc w:val="both"/>
              <w:rPr>
                <w:rFonts w:cstheme="minorHAnsi"/>
                <w:sz w:val="24"/>
                <w:szCs w:val="24"/>
              </w:rPr>
            </w:pPr>
          </w:p>
          <w:p w:rsidR="00D33745" w:rsidRPr="007C1E20" w:rsidRDefault="00D33745" w:rsidP="000C1836">
            <w:pPr>
              <w:jc w:val="both"/>
              <w:rPr>
                <w:rFonts w:cstheme="minorHAnsi"/>
                <w:sz w:val="24"/>
                <w:szCs w:val="24"/>
              </w:rPr>
            </w:pPr>
            <w:r w:rsidRPr="007C1E20">
              <w:rPr>
                <w:rFonts w:cstheme="minorHAnsi"/>
                <w:sz w:val="24"/>
                <w:szCs w:val="24"/>
              </w:rPr>
              <w:t>(a)</w:t>
            </w:r>
            <w:r w:rsidRPr="007C1E20">
              <w:rPr>
                <w:rFonts w:cstheme="minorHAnsi"/>
                <w:sz w:val="24"/>
                <w:szCs w:val="24"/>
              </w:rPr>
              <w:tab/>
              <w:t>EU Member States (appendix 1)</w:t>
            </w:r>
          </w:p>
          <w:p w:rsidR="00D33745" w:rsidRPr="007C1E20" w:rsidRDefault="00D33745" w:rsidP="000C1836">
            <w:pPr>
              <w:jc w:val="both"/>
              <w:rPr>
                <w:rFonts w:cstheme="minorHAnsi"/>
                <w:sz w:val="24"/>
                <w:szCs w:val="24"/>
              </w:rPr>
            </w:pPr>
            <w:bookmarkStart w:id="1" w:name="_Toc423007521"/>
            <w:bookmarkStart w:id="2" w:name="_Toc423007703"/>
            <w:r w:rsidRPr="007C1E20">
              <w:rPr>
                <w:rFonts w:cstheme="minorHAnsi"/>
                <w:sz w:val="24"/>
                <w:szCs w:val="24"/>
              </w:rPr>
              <w:t>Austria, Belgium, Bulgaria, Czech Republic, Croatia, Cyprus, Denmark, Estonia, Finland, France, Germany, Greece, Hungary, Ireland, Italy, Latvia, Lithuania, Luxembourg, Malta, Netherlands, Poland, Portugal, Romania, Slovakia, Slovenia, Spain, Sweden, United Kingdom.</w:t>
            </w:r>
            <w:bookmarkEnd w:id="1"/>
            <w:bookmarkEnd w:id="2"/>
          </w:p>
          <w:p w:rsidR="00D33745" w:rsidRPr="007C1E20" w:rsidRDefault="00D33745" w:rsidP="000C1836">
            <w:pPr>
              <w:jc w:val="both"/>
              <w:rPr>
                <w:rFonts w:cstheme="minorHAnsi"/>
                <w:sz w:val="24"/>
                <w:szCs w:val="24"/>
              </w:rPr>
            </w:pPr>
            <w:r w:rsidRPr="007C1E20">
              <w:rPr>
                <w:rFonts w:cstheme="minorHAnsi"/>
                <w:sz w:val="24"/>
                <w:szCs w:val="24"/>
              </w:rPr>
              <w:t>(b)</w:t>
            </w:r>
            <w:r w:rsidRPr="007C1E20">
              <w:rPr>
                <w:rFonts w:cstheme="minorHAnsi"/>
                <w:sz w:val="24"/>
                <w:szCs w:val="24"/>
              </w:rPr>
              <w:tab/>
              <w:t>Beneficiaries listed in the Annex I of the IPA II (appendix 2)</w:t>
            </w:r>
            <w:r w:rsidRPr="007C1E20">
              <w:rPr>
                <w:rFonts w:cstheme="minorHAnsi"/>
                <w:sz w:val="24"/>
                <w:szCs w:val="24"/>
              </w:rPr>
              <w:tab/>
            </w:r>
          </w:p>
          <w:p w:rsidR="00D33745" w:rsidRPr="007C1E20" w:rsidRDefault="00D33745" w:rsidP="000C1836">
            <w:pPr>
              <w:jc w:val="both"/>
              <w:rPr>
                <w:rFonts w:cstheme="minorHAnsi"/>
                <w:sz w:val="24"/>
                <w:szCs w:val="24"/>
              </w:rPr>
            </w:pPr>
            <w:bookmarkStart w:id="3" w:name="_Toc423007522"/>
            <w:bookmarkStart w:id="4" w:name="_Toc423007704"/>
            <w:r w:rsidRPr="007C1E20">
              <w:rPr>
                <w:rFonts w:cstheme="minorHAnsi"/>
                <w:sz w:val="24"/>
                <w:szCs w:val="24"/>
              </w:rPr>
              <w:t>Albania, Bosnia and Herzegovina, Kosovo*, Montenegro, Serbia, Turkey, the former Yugoslav Republic of Macedonia.</w:t>
            </w:r>
            <w:bookmarkEnd w:id="3"/>
            <w:bookmarkEnd w:id="4"/>
            <w:r w:rsidRPr="007C1E20">
              <w:rPr>
                <w:rFonts w:cstheme="minorHAnsi"/>
                <w:sz w:val="24"/>
                <w:szCs w:val="24"/>
              </w:rPr>
              <w:t xml:space="preserve"> </w:t>
            </w:r>
          </w:p>
          <w:p w:rsidR="00D33745" w:rsidRPr="007C1E20" w:rsidRDefault="00D33745" w:rsidP="000C1836">
            <w:pPr>
              <w:jc w:val="both"/>
              <w:rPr>
                <w:rFonts w:cstheme="minorHAnsi"/>
                <w:sz w:val="24"/>
                <w:szCs w:val="24"/>
              </w:rPr>
            </w:pPr>
            <w:bookmarkStart w:id="5" w:name="_Toc423007523"/>
            <w:bookmarkStart w:id="6" w:name="_Toc423007705"/>
            <w:r w:rsidRPr="007C1E20">
              <w:rPr>
                <w:rFonts w:cstheme="minorHAnsi"/>
                <w:sz w:val="24"/>
                <w:szCs w:val="24"/>
              </w:rPr>
              <w:t>* This designation is without prejudice to positions on status, and is in line with UNSCR 1244/1999 and the ICJ Opinion on the Kosovo declaration of independence.</w:t>
            </w:r>
            <w:bookmarkEnd w:id="5"/>
            <w:bookmarkEnd w:id="6"/>
          </w:p>
          <w:p w:rsidR="00D33745" w:rsidRPr="007C1E20" w:rsidRDefault="00D33745" w:rsidP="000C1836">
            <w:pPr>
              <w:jc w:val="both"/>
              <w:rPr>
                <w:rFonts w:cstheme="minorHAnsi"/>
                <w:sz w:val="24"/>
                <w:szCs w:val="24"/>
              </w:rPr>
            </w:pPr>
            <w:r w:rsidRPr="007C1E20">
              <w:rPr>
                <w:rFonts w:cstheme="minorHAnsi"/>
                <w:sz w:val="24"/>
                <w:szCs w:val="24"/>
              </w:rPr>
              <w:t>(c)</w:t>
            </w:r>
            <w:r w:rsidRPr="007C1E20">
              <w:rPr>
                <w:rFonts w:cstheme="minorHAnsi"/>
                <w:sz w:val="24"/>
                <w:szCs w:val="24"/>
              </w:rPr>
              <w:tab/>
              <w:t>European Economic Area (appendix 3)</w:t>
            </w:r>
            <w:r w:rsidRPr="007C1E20">
              <w:rPr>
                <w:rFonts w:cstheme="minorHAnsi"/>
                <w:sz w:val="24"/>
                <w:szCs w:val="24"/>
              </w:rPr>
              <w:tab/>
            </w:r>
          </w:p>
          <w:p w:rsidR="00D33745" w:rsidRPr="007C1E20" w:rsidRDefault="00D33745" w:rsidP="000C1836">
            <w:pPr>
              <w:jc w:val="both"/>
              <w:rPr>
                <w:rFonts w:cstheme="minorHAnsi"/>
                <w:sz w:val="24"/>
                <w:szCs w:val="24"/>
              </w:rPr>
            </w:pPr>
            <w:bookmarkStart w:id="7" w:name="_Toc423007526"/>
            <w:bookmarkStart w:id="8" w:name="_Toc423007708"/>
            <w:r w:rsidRPr="007C1E20">
              <w:rPr>
                <w:rFonts w:cstheme="minorHAnsi"/>
                <w:sz w:val="24"/>
                <w:szCs w:val="24"/>
              </w:rPr>
              <w:t>(only non-EU MS are mentioned) Iceland, Lichtenstein, Norway.</w:t>
            </w:r>
            <w:bookmarkEnd w:id="7"/>
            <w:bookmarkEnd w:id="8"/>
            <w:r w:rsidRPr="007C1E20">
              <w:rPr>
                <w:rFonts w:cstheme="minorHAnsi"/>
                <w:sz w:val="24"/>
                <w:szCs w:val="24"/>
              </w:rPr>
              <w:t xml:space="preserve"> </w:t>
            </w:r>
          </w:p>
          <w:p w:rsidR="00D33745" w:rsidRPr="007C1E20" w:rsidRDefault="00D33745" w:rsidP="000C1836">
            <w:pPr>
              <w:jc w:val="both"/>
              <w:rPr>
                <w:rFonts w:cstheme="minorHAnsi"/>
                <w:sz w:val="24"/>
                <w:szCs w:val="24"/>
              </w:rPr>
            </w:pPr>
            <w:r w:rsidRPr="007C1E20">
              <w:rPr>
                <w:rFonts w:cstheme="minorHAnsi"/>
                <w:sz w:val="24"/>
                <w:szCs w:val="24"/>
              </w:rPr>
              <w:t>(d)</w:t>
            </w:r>
            <w:r w:rsidRPr="007C1E20">
              <w:rPr>
                <w:rFonts w:cstheme="minorHAnsi"/>
                <w:sz w:val="24"/>
                <w:szCs w:val="24"/>
              </w:rPr>
              <w:tab/>
              <w:t>Partner countries and territories covered by ENI Instrument (annex I of ENI In</w:t>
            </w:r>
            <w:r>
              <w:rPr>
                <w:rFonts w:cstheme="minorHAnsi"/>
                <w:sz w:val="24"/>
                <w:szCs w:val="24"/>
              </w:rPr>
              <w:t>s</w:t>
            </w:r>
            <w:r w:rsidRPr="007C1E20">
              <w:rPr>
                <w:rFonts w:cstheme="minorHAnsi"/>
                <w:sz w:val="24"/>
                <w:szCs w:val="24"/>
              </w:rPr>
              <w:t>trument) (appendix 11)</w:t>
            </w:r>
          </w:p>
          <w:p w:rsidR="00D33745" w:rsidRPr="007C1E20" w:rsidRDefault="00D33745" w:rsidP="000C1836">
            <w:pPr>
              <w:jc w:val="both"/>
              <w:rPr>
                <w:rFonts w:cstheme="minorHAnsi"/>
                <w:sz w:val="24"/>
                <w:szCs w:val="24"/>
              </w:rPr>
            </w:pPr>
            <w:bookmarkStart w:id="9" w:name="_Toc423007532"/>
            <w:bookmarkStart w:id="10" w:name="_Toc423007714"/>
            <w:r w:rsidRPr="007C1E20">
              <w:rPr>
                <w:rFonts w:cstheme="minorHAnsi"/>
                <w:sz w:val="24"/>
                <w:szCs w:val="24"/>
              </w:rPr>
              <w:t>Algeria, Armenia, Azerbaijan, Belarus, Egypt, Georgia, Israel, Jordan, Lebanon, Libya, Republic of Moldova, Morocco, occupied Palestinian territory (</w:t>
            </w:r>
            <w:proofErr w:type="spellStart"/>
            <w:r w:rsidRPr="007C1E20">
              <w:rPr>
                <w:rFonts w:cstheme="minorHAnsi"/>
                <w:sz w:val="24"/>
                <w:szCs w:val="24"/>
              </w:rPr>
              <w:t>oPt</w:t>
            </w:r>
            <w:proofErr w:type="spellEnd"/>
            <w:r w:rsidRPr="007C1E20">
              <w:rPr>
                <w:rFonts w:cstheme="minorHAnsi"/>
                <w:sz w:val="24"/>
                <w:szCs w:val="24"/>
              </w:rPr>
              <w:t>), Syria, Tunisia, Ukraine.</w:t>
            </w:r>
            <w:bookmarkEnd w:id="9"/>
            <w:bookmarkEnd w:id="10"/>
          </w:p>
          <w:p w:rsidR="00D33745" w:rsidRPr="007C1E20" w:rsidRDefault="00D33745" w:rsidP="000C1836">
            <w:pPr>
              <w:jc w:val="both"/>
              <w:rPr>
                <w:rFonts w:cstheme="minorHAnsi"/>
                <w:sz w:val="24"/>
                <w:szCs w:val="24"/>
              </w:rPr>
            </w:pPr>
            <w:r w:rsidRPr="007C1E20">
              <w:rPr>
                <w:rFonts w:cstheme="minorHAnsi"/>
                <w:sz w:val="24"/>
                <w:szCs w:val="24"/>
              </w:rPr>
              <w:t>(e)</w:t>
            </w:r>
            <w:r w:rsidRPr="007C1E20">
              <w:rPr>
                <w:rFonts w:cstheme="minorHAnsi"/>
                <w:sz w:val="24"/>
                <w:szCs w:val="24"/>
              </w:rPr>
              <w:tab/>
              <w:t>Countries for which Commission has adopted a decision approving the request for reciprocal access to external assistance.</w:t>
            </w:r>
          </w:p>
          <w:p w:rsidR="00D33745" w:rsidRPr="007C1E20" w:rsidRDefault="00D33745" w:rsidP="000C1836">
            <w:pPr>
              <w:jc w:val="both"/>
              <w:rPr>
                <w:rFonts w:cstheme="minorHAnsi"/>
                <w:sz w:val="24"/>
                <w:szCs w:val="24"/>
              </w:rPr>
            </w:pPr>
            <w:r w:rsidRPr="007C1E20">
              <w:rPr>
                <w:rFonts w:cstheme="minorHAnsi"/>
                <w:sz w:val="24"/>
                <w:szCs w:val="24"/>
              </w:rPr>
              <w:t>Currently there are no such countries.</w:t>
            </w:r>
          </w:p>
          <w:p w:rsidR="00D33745" w:rsidRPr="007C1E20" w:rsidRDefault="00D33745" w:rsidP="000C1836">
            <w:pPr>
              <w:jc w:val="both"/>
              <w:rPr>
                <w:rFonts w:cstheme="minorHAnsi"/>
                <w:sz w:val="24"/>
                <w:szCs w:val="24"/>
              </w:rPr>
            </w:pPr>
          </w:p>
        </w:tc>
      </w:tr>
    </w:tbl>
    <w:p w:rsidR="00D33745" w:rsidRDefault="00D33745" w:rsidP="00D33745">
      <w:pPr>
        <w:pStyle w:val="Header"/>
        <w:tabs>
          <w:tab w:val="clear" w:pos="4513"/>
          <w:tab w:val="clear" w:pos="9026"/>
        </w:tabs>
        <w:spacing w:after="200" w:line="276" w:lineRule="auto"/>
        <w:rPr>
          <w:rFonts w:ascii="Open Sans" w:hAnsi="Open Sans" w:cs="Open Sans"/>
        </w:rPr>
      </w:pPr>
    </w:p>
    <w:sectPr w:rsidR="00D33745" w:rsidSect="00D33745">
      <w:headerReference w:type="default" r:id="rId7"/>
      <w:footerReference w:type="default" r:id="rId8"/>
      <w:pgSz w:w="16838" w:h="11906" w:orient="landscape" w:code="9"/>
      <w:pgMar w:top="1710" w:right="2247" w:bottom="1440" w:left="1559" w:header="0"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238" w:rsidRDefault="00100238" w:rsidP="00C63F61">
      <w:pPr>
        <w:spacing w:after="0" w:line="240" w:lineRule="auto"/>
      </w:pPr>
      <w:r>
        <w:separator/>
      </w:r>
    </w:p>
  </w:endnote>
  <w:endnote w:type="continuationSeparator" w:id="0">
    <w:p w:rsidR="00100238" w:rsidRDefault="00100238" w:rsidP="00C63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FDE" w:rsidRDefault="00D33745">
    <w:pPr>
      <w:pStyle w:val="Footer"/>
    </w:pPr>
    <w:r w:rsidRPr="005D1FDE">
      <w:rPr>
        <w:noProof/>
        <w:lang w:val="en-US"/>
      </w:rPr>
      <mc:AlternateContent>
        <mc:Choice Requires="wps">
          <w:drawing>
            <wp:anchor distT="0" distB="0" distL="114300" distR="114300" simplePos="0" relativeHeight="251614208" behindDoc="0" locked="0" layoutInCell="1" allowOverlap="1" wp14:anchorId="6F9CA767" wp14:editId="67CF03B1">
              <wp:simplePos x="0" y="0"/>
              <wp:positionH relativeFrom="column">
                <wp:posOffset>5416681</wp:posOffset>
              </wp:positionH>
              <wp:positionV relativeFrom="paragraph">
                <wp:posOffset>-266700</wp:posOffset>
              </wp:positionV>
              <wp:extent cx="4006850" cy="7461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0" cy="746125"/>
                      </a:xfrm>
                      <a:prstGeom prst="rect">
                        <a:avLst/>
                      </a:prstGeom>
                      <a:solidFill>
                        <a:srgbClr val="FFFFFF"/>
                      </a:solidFill>
                      <a:ln w="9525">
                        <a:noFill/>
                        <a:miter lim="800000"/>
                        <a:headEnd/>
                        <a:tailEnd/>
                      </a:ln>
                    </wps:spPr>
                    <wps:txbx>
                      <w:txbxContent>
                        <w:p w:rsidR="005D1FDE" w:rsidRPr="0094399C" w:rsidRDefault="005D1FDE" w:rsidP="005D1FDE">
                          <w:pPr>
                            <w:spacing w:after="0"/>
                            <w:jc w:val="both"/>
                            <w:rPr>
                              <w:rFonts w:ascii="Open Sans" w:hAnsi="Open Sans" w:cs="Open Sans"/>
                              <w:b/>
                              <w:sz w:val="16"/>
                              <w:szCs w:val="16"/>
                            </w:rPr>
                          </w:pPr>
                          <w:r w:rsidRPr="0094399C">
                            <w:rPr>
                              <w:rFonts w:ascii="Open Sans" w:hAnsi="Open Sans" w:cs="Open Sans"/>
                              <w:b/>
                              <w:sz w:val="16"/>
                              <w:szCs w:val="16"/>
                            </w:rPr>
                            <w:t>Cooperation beyond borders.</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 xml:space="preserve">Interreg-IPA Cross-border Cooperation Romania-Serbia Programme is financed by </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 xml:space="preserve">the European Union under the Instrument for Pre-accession Assistance (IPA II) and </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co-financed by the partner states in the Programme.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9CA767" id="_x0000_t202" coordsize="21600,21600" o:spt="202" path="m,l,21600r21600,l21600,xe">
              <v:stroke joinstyle="miter"/>
              <v:path gradientshapeok="t" o:connecttype="rect"/>
            </v:shapetype>
            <v:shape id="_x0000_s1028" type="#_x0000_t202" style="position:absolute;margin-left:426.5pt;margin-top:-21pt;width:315.5pt;height:58.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GvIgIAACQEAAAOAAAAZHJzL2Uyb0RvYy54bWysU81u2zAMvg/YOwi6L3aypE2NOEWXLsOA&#10;7gdo9wC0LMfCJNGTlNjZ04+S0zTbbsN0EEiR/Eh+pFa3g9HsIJ1XaEs+neScSSuwVnZX8m9P2zdL&#10;znwAW4NGK0t+lJ7frl+/WvVdIWfYoq6lYwRifdF3JW9D6Ios86KVBvwEO2nJ2KAzEEh1u6x20BO6&#10;0dksz6+yHl3dORTSe3q9H418nfCbRorwpWm8DEyXnGoL6XbpruKdrVdQ7Bx0rRKnMuAfqjCgLCU9&#10;Q91DALZ36i8oo4RDj02YCDQZNo0SMvVA3UzzP7p5bKGTqRcix3dnmvz/gxWfD18dU3XJ3+bXnFkw&#10;NKQnOQT2Dgc2i/z0nS/I7bEjxzDQM8059eq7BxTfPbO4acHu5J1z2LcSaqpvGiOzi9ARx0eQqv+E&#10;NaWBfcAENDTORPKIDkboNKfjeTaxFEGPcxr2ckEmQbbr+dV0tkgpoHiO7pwPHyQaFoWSO5p9QofD&#10;gw+xGiieXWIyj1rVW6V1Utyu2mjHDkB7sk3nhP6bm7asL/nNgnLHKIsxPq2QUYH2WCtT8mUeTwyH&#10;IrLx3tZJDqD0KFMl2p7oiYyM3IShGtIkEneRugrrI/HlcFxb+mYktOh+ctbTypbc/9iDk5zpj5Y4&#10;v5nO53HHkzJfXM9IcZeW6tICVhBUyQNno7gJ6V+Mjd3RbBqVaHup5FQyrWJi8/Rt4q5f6snr5XOv&#10;fwEAAP//AwBQSwMEFAAGAAgAAAAhAEnm8STfAAAACwEAAA8AAABkcnMvZG93bnJldi54bWxMj8FO&#10;wzAQRO9I/IO1SFxQ61CSJqRxKkACcW3pBzjxNokar6PYbdK/Z3uC24x2NPum2M62FxccfedIwfMy&#10;AoFUO9NRo+Dw87nIQPigyejeESq4oodteX9X6Ny4iXZ42YdGcAn5XCtoQxhyKX3dotV+6QYkvh3d&#10;aHVgOzbSjHrictvLVRStpdUd8YdWD/jRYn3an62C4/f0lLxO1Vc4pLt4/a67tHJXpR4f5rcNiIBz&#10;+AvDDZ/RoWSmyp3JeNEryJIX3hIULOIVi1sizmJWlYI0SUCWhfy/ofwFAAD//wMAUEsBAi0AFAAG&#10;AAgAAAAhALaDOJL+AAAA4QEAABMAAAAAAAAAAAAAAAAAAAAAAFtDb250ZW50X1R5cGVzXS54bWxQ&#10;SwECLQAUAAYACAAAACEAOP0h/9YAAACUAQAACwAAAAAAAAAAAAAAAAAvAQAAX3JlbHMvLnJlbHNQ&#10;SwECLQAUAAYACAAAACEAks/hryICAAAkBAAADgAAAAAAAAAAAAAAAAAuAgAAZHJzL2Uyb0RvYy54&#10;bWxQSwECLQAUAAYACAAAACEASebxJN8AAAALAQAADwAAAAAAAAAAAAAAAAB8BAAAZHJzL2Rvd25y&#10;ZXYueG1sUEsFBgAAAAAEAAQA8wAAAIgFAAAAAA==&#10;" stroked="f">
              <v:textbox>
                <w:txbxContent>
                  <w:p w:rsidR="005D1FDE" w:rsidRPr="0094399C" w:rsidRDefault="005D1FDE" w:rsidP="005D1FDE">
                    <w:pPr>
                      <w:spacing w:after="0"/>
                      <w:jc w:val="both"/>
                      <w:rPr>
                        <w:rFonts w:ascii="Open Sans" w:hAnsi="Open Sans" w:cs="Open Sans"/>
                        <w:b/>
                        <w:sz w:val="16"/>
                        <w:szCs w:val="16"/>
                      </w:rPr>
                    </w:pPr>
                    <w:r w:rsidRPr="0094399C">
                      <w:rPr>
                        <w:rFonts w:ascii="Open Sans" w:hAnsi="Open Sans" w:cs="Open Sans"/>
                        <w:b/>
                        <w:sz w:val="16"/>
                        <w:szCs w:val="16"/>
                      </w:rPr>
                      <w:t>Cooperation beyond borders.</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 xml:space="preserve">Interreg-IPA Cross-border Cooperation Romania-Serbia Programme is financed by </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 xml:space="preserve">the European Union under the Instrument for Pre-accession Assistance (IPA II) and </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co-financed by the partner states in the Programme.</w:t>
                    </w:r>
                  </w:p>
                </w:txbxContent>
              </v:textbox>
            </v:shape>
          </w:pict>
        </mc:Fallback>
      </mc:AlternateContent>
    </w:r>
    <w:r w:rsidR="000D1CBC" w:rsidRPr="000D1CBC">
      <w:rPr>
        <w:rFonts w:ascii="Open Sans" w:hAnsi="Open Sans" w:cs="Open Sans"/>
        <w:noProof/>
        <w:lang w:val="en-US"/>
      </w:rPr>
      <mc:AlternateContent>
        <mc:Choice Requires="wps">
          <w:drawing>
            <wp:anchor distT="0" distB="0" distL="114300" distR="114300" simplePos="0" relativeHeight="251626496" behindDoc="0" locked="0" layoutInCell="1" allowOverlap="1" wp14:anchorId="7A6ED5B7" wp14:editId="0909BF86">
              <wp:simplePos x="0" y="0"/>
              <wp:positionH relativeFrom="column">
                <wp:posOffset>-447675</wp:posOffset>
              </wp:positionH>
              <wp:positionV relativeFrom="paragraph">
                <wp:posOffset>-317500</wp:posOffset>
              </wp:positionV>
              <wp:extent cx="797560" cy="812800"/>
              <wp:effectExtent l="0" t="0" r="0" b="63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560" cy="812800"/>
                      </a:xfrm>
                      <a:prstGeom prst="rect">
                        <a:avLst/>
                      </a:prstGeom>
                      <a:noFill/>
                      <a:ln>
                        <a:noFill/>
                      </a:ln>
                    </wps:spPr>
                    <wps:txbx>
                      <w:txbxContent>
                        <w:p w:rsidR="000D1CBC" w:rsidRDefault="000D1CBC" w:rsidP="000D1CBC">
                          <w:r>
                            <w:rPr>
                              <w:noProof/>
                              <w:lang w:val="en-US"/>
                            </w:rPr>
                            <w:drawing>
                              <wp:inline distT="0" distB="0" distL="0" distR="0" wp14:anchorId="79663AF5" wp14:editId="61F0B7BF">
                                <wp:extent cx="595745" cy="685800"/>
                                <wp:effectExtent l="0" t="0" r="0" b="0"/>
                                <wp:docPr id="270" name="Picture 270"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357" cy="68880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6ED5B7" id="Text Box 14" o:spid="_x0000_s1029" type="#_x0000_t202" style="position:absolute;margin-left:-35.25pt;margin-top:-25pt;width:62.8pt;height:64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68I9QEAAM4DAAAOAAAAZHJzL2Uyb0RvYy54bWysU9tu2zAMfR+wfxD0vjgJ0iY14hRdiw4D&#10;unVAuw+gZTkWZosapcTOvn6UnGTZ9jbsRRAvOjw8pNa3Q9eKvSZv0BZyNplKoa3CythtIb++Pr5b&#10;SeED2ApatLqQB+3l7ebtm3Xvcj3HBttKk2AQ6/PeFbIJweVZ5lWjO/ATdNpysEbqILBJ26wi6Bm9&#10;a7P5dHqd9UiVI1Tae/Y+jEG5Sfh1rVV4rmuvg2gLydxCOimdZTyzzRryLYFrjDrSgH9g0YGxXPQM&#10;9QABxI7MX1CdUYQe6zBR2GVY10bp1AN3M5v+0c1LA06nXlgc784y+f8Hqz7vv5AwFc9uIYWFjmf0&#10;qocg3uMg2MX69M7nnPbiODEM7Ofc1Kt3T6i+eWHxvgG71XdE2DcaKuY3iy+zi6cjjo8gZf8JK64D&#10;u4AJaKipi+KxHILReU6H82wiF8XO5c3y6pojikOr2Xw1TbPLID89duTDB42diJdCEo8+gcP+yYdI&#10;BvJTSqxl8dG0bRp/a39zcGL0JPKR78g8DOWQdJqfNCmxOnA3hONS8SfgS4P0Q4qeF6qQ/vsOSEvR&#10;frSsyM1ssYgbmIzF1XLOBl1GyssIWMVQhQxSjNf7MG7tzpHZNlxpnIHFO1axNqnDKPfI6kiflyY1&#10;flzwuJWXdsr69Q03PwEAAP//AwBQSwMEFAAGAAgAAAAhAPGZSAbdAAAACQEAAA8AAABkcnMvZG93&#10;bnJldi54bWxMj8FOwzAMhu9IvENkJG5bMkTYVppOCMSViW0g7ZY1XlvROFWTreXt8U7sZsuffn9/&#10;vhp9K87YxyaQgdlUgUAqg2uoMrDbvk8WIGKy5GwbCA38YoRVcXuT28yFgT7xvEmV4BCKmTVQp9Rl&#10;UsayRm/jNHRIfDuG3tvEa19J19uBw30rH5R6kt42xB9q2+FrjeXP5uQNfH0c99+Pal29ed0NYVSS&#10;/FIac383vjyDSDimfxgu+qwOBTsdwolcFK2ByVxpRnnQiksxofUMxMHAfKFAFrm8blD8AQAA//8D&#10;AFBLAQItABQABgAIAAAAIQC2gziS/gAAAOEBAAATAAAAAAAAAAAAAAAAAAAAAABbQ29udGVudF9U&#10;eXBlc10ueG1sUEsBAi0AFAAGAAgAAAAhADj9If/WAAAAlAEAAAsAAAAAAAAAAAAAAAAALwEAAF9y&#10;ZWxzLy5yZWxzUEsBAi0AFAAGAAgAAAAhAGoXrwj1AQAAzgMAAA4AAAAAAAAAAAAAAAAALgIAAGRy&#10;cy9lMm9Eb2MueG1sUEsBAi0AFAAGAAgAAAAhAPGZSAbdAAAACQEAAA8AAAAAAAAAAAAAAAAATwQA&#10;AGRycy9kb3ducmV2LnhtbFBLBQYAAAAABAAEAPMAAABZBQAAAAA=&#10;" filled="f" stroked="f">
              <v:textbox>
                <w:txbxContent>
                  <w:p w:rsidR="000D1CBC" w:rsidRDefault="000D1CBC" w:rsidP="000D1CBC">
                    <w:r>
                      <w:rPr>
                        <w:noProof/>
                        <w:lang w:val="en-US"/>
                      </w:rPr>
                      <w:drawing>
                        <wp:inline distT="0" distB="0" distL="0" distR="0" wp14:anchorId="79663AF5" wp14:editId="61F0B7BF">
                          <wp:extent cx="595745" cy="685800"/>
                          <wp:effectExtent l="0" t="0" r="0" b="0"/>
                          <wp:docPr id="270" name="Picture 270"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357" cy="688807"/>
                                  </a:xfrm>
                                  <a:prstGeom prst="rect">
                                    <a:avLst/>
                                  </a:prstGeom>
                                  <a:noFill/>
                                  <a:ln>
                                    <a:noFill/>
                                  </a:ln>
                                </pic:spPr>
                              </pic:pic>
                            </a:graphicData>
                          </a:graphic>
                        </wp:inline>
                      </w:drawing>
                    </w:r>
                  </w:p>
                </w:txbxContent>
              </v:textbox>
            </v:shape>
          </w:pict>
        </mc:Fallback>
      </mc:AlternateContent>
    </w:r>
    <w:r w:rsidR="000D1CBC">
      <w:rPr>
        <w:rFonts w:ascii="Open Sans" w:hAnsi="Open Sans" w:cs="Open Sans"/>
        <w:noProof/>
        <w:sz w:val="24"/>
        <w:lang w:val="en-US"/>
      </w:rPr>
      <mc:AlternateContent>
        <mc:Choice Requires="wps">
          <w:drawing>
            <wp:anchor distT="0" distB="0" distL="114300" distR="114300" simplePos="0" relativeHeight="251712512" behindDoc="0" locked="0" layoutInCell="1" allowOverlap="1" wp14:anchorId="36FE9C7B" wp14:editId="60C5F33F">
              <wp:simplePos x="0" y="0"/>
              <wp:positionH relativeFrom="column">
                <wp:posOffset>200025</wp:posOffset>
              </wp:positionH>
              <wp:positionV relativeFrom="paragraph">
                <wp:posOffset>-241300</wp:posOffset>
              </wp:positionV>
              <wp:extent cx="2126615" cy="6381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6615" cy="638175"/>
                      </a:xfrm>
                      <a:prstGeom prst="rect">
                        <a:avLst/>
                      </a:prstGeom>
                      <a:noFill/>
                      <a:ln w="9525">
                        <a:noFill/>
                        <a:miter lim="800000"/>
                        <a:headEnd/>
                        <a:tailEnd/>
                      </a:ln>
                    </wps:spPr>
                    <wps:txbx>
                      <w:txbxContent>
                        <w:p w:rsidR="000D1CBC" w:rsidRPr="0094399C" w:rsidRDefault="000D1CBC" w:rsidP="000D1CBC">
                          <w:pPr>
                            <w:pStyle w:val="NoSpacing"/>
                            <w:rPr>
                              <w:rFonts w:ascii="Open Sans" w:hAnsi="Open Sans" w:cs="Open Sans"/>
                              <w:sz w:val="16"/>
                              <w:szCs w:val="16"/>
                            </w:rPr>
                          </w:pPr>
                          <w:r w:rsidRPr="0094399C">
                            <w:rPr>
                              <w:rFonts w:ascii="Open Sans" w:hAnsi="Open Sans" w:cs="Open Sans"/>
                              <w:noProof/>
                              <w:sz w:val="16"/>
                              <w:szCs w:val="16"/>
                              <w:lang w:val="en-US" w:eastAsia="zh-TW"/>
                            </w:rPr>
                            <w:t>Republic of Serbia</w:t>
                          </w:r>
                        </w:p>
                        <w:p w:rsidR="000D1CBC" w:rsidRPr="0094399C" w:rsidRDefault="000D1CBC" w:rsidP="000D1CBC">
                          <w:pPr>
                            <w:pStyle w:val="NoSpacing"/>
                            <w:rPr>
                              <w:rFonts w:ascii="Open Sans" w:hAnsi="Open Sans" w:cs="Open Sans"/>
                              <w:sz w:val="16"/>
                              <w:szCs w:val="16"/>
                            </w:rPr>
                          </w:pPr>
                          <w:r w:rsidRPr="0094399C">
                            <w:rPr>
                              <w:rFonts w:ascii="Open Sans" w:hAnsi="Open Sans" w:cs="Open Sans"/>
                              <w:sz w:val="16"/>
                              <w:szCs w:val="16"/>
                            </w:rPr>
                            <w:t>Autonomous province of Vojvodina</w:t>
                          </w:r>
                        </w:p>
                        <w:p w:rsidR="000D1CBC" w:rsidRPr="0094399C" w:rsidRDefault="000D1CBC" w:rsidP="000D1CBC">
                          <w:pPr>
                            <w:pStyle w:val="NoSpacing"/>
                            <w:rPr>
                              <w:rFonts w:ascii="Open Sans" w:hAnsi="Open Sans" w:cs="Open Sans"/>
                              <w:sz w:val="16"/>
                              <w:szCs w:val="16"/>
                            </w:rPr>
                          </w:pPr>
                          <w:r w:rsidRPr="0094399C">
                            <w:rPr>
                              <w:rFonts w:ascii="Open Sans" w:hAnsi="Open Sans" w:cs="Open Sans"/>
                              <w:sz w:val="16"/>
                              <w:szCs w:val="16"/>
                            </w:rPr>
                            <w:t>Special hospital for psychiatric diseases</w:t>
                          </w:r>
                        </w:p>
                        <w:p w:rsidR="000D1CBC" w:rsidRPr="0094399C" w:rsidRDefault="000D1CBC" w:rsidP="000D1CBC">
                          <w:pPr>
                            <w:pStyle w:val="NoSpacing"/>
                            <w:rPr>
                              <w:rFonts w:ascii="Open Sans" w:hAnsi="Open Sans" w:cs="Open Sans"/>
                              <w:sz w:val="16"/>
                              <w:szCs w:val="16"/>
                              <w:lang w:val="sr-Cyrl-CS"/>
                            </w:rPr>
                          </w:pPr>
                          <w:r w:rsidRPr="0094399C">
                            <w:rPr>
                              <w:rFonts w:ascii="Open Sans" w:hAnsi="Open Sans" w:cs="Open Sans"/>
                              <w:sz w:val="16"/>
                              <w:szCs w:val="16"/>
                              <w:lang w:val="sr-Cyrl-CS"/>
                            </w:rPr>
                            <w:t>„</w:t>
                          </w:r>
                          <w:r w:rsidRPr="0094399C">
                            <w:rPr>
                              <w:rFonts w:ascii="Open Sans" w:hAnsi="Open Sans" w:cs="Open Sans"/>
                              <w:sz w:val="16"/>
                              <w:szCs w:val="16"/>
                            </w:rPr>
                            <w:t>Dr Slavoljub Bakalović</w:t>
                          </w:r>
                          <w:r w:rsidRPr="0094399C">
                            <w:rPr>
                              <w:rFonts w:ascii="Open Sans" w:hAnsi="Open Sans" w:cs="Open Sans"/>
                              <w:sz w:val="16"/>
                              <w:szCs w:val="16"/>
                              <w:lang w:val="sr-Cyrl-CS"/>
                            </w:rPr>
                            <w:t>“</w:t>
                          </w:r>
                        </w:p>
                        <w:p w:rsidR="000D1CBC" w:rsidRPr="0094399C" w:rsidRDefault="000D1CBC" w:rsidP="000D1CBC">
                          <w:pPr>
                            <w:rPr>
                              <w:rFonts w:ascii="Open Sans" w:hAnsi="Open Sans" w:cs="Open Sans"/>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FE9C7B" id="Text Box 12" o:spid="_x0000_s1030" type="#_x0000_t202" style="position:absolute;margin-left:15.75pt;margin-top:-19pt;width:167.45pt;height:50.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ksFgIAAAcEAAAOAAAAZHJzL2Uyb0RvYy54bWysU9tuGyEQfa/Uf0C813uJ7Tgrr6M0aapK&#10;6UVK+gGYZXdRgaGAvet+fQbWdq32rSoPCJiZM3PODOvbUSuyF85LMDUtZjklwnBopOlq+v3l8d2K&#10;Eh+YaZgCI2p6EJ7ebt6+WQ+2EiX0oBrhCIIYXw22pn0Itsoyz3uhmZ+BFQaNLTjNAl5dlzWODYiu&#10;VVbm+TIbwDXWARfe4+vDZKSbhN+2goevbetFIKqmWFtIu0v7Nu7ZZs2qzjHbS34sg/1DFZpJg0nP&#10;UA8sMLJz8i8oLbkDD22YcdAZtK3kInFANkX+B5vnnlmRuKA43p5l8v8Pln/Zf3NENti7khLDNPbo&#10;RYyBvIeR4BPqM1hfoduzRccw4jv6Jq7ePgH/4YmB+56ZTtw5B0MvWIP1FTEyuwidcHwE2Q6focE8&#10;bBcgAY2t01E8lIMgOvbpcO5NrIXjY1mUy2WxoISjbXm1Kq4XKQWrTtHW+fBRgCbxUFOHvU/obP/k&#10;Q6yGVSeXmMzAo1Qq9V8ZMtT0ZlEuUsCFRcuA46mkrukqj2samEjyg2lScGBSTWdMoMyRdSQ6UQ7j&#10;dkwCX53E3EJzQBkcTNOIvwcPPbhflAw4iTX1P3fMCUrUJ4NS3hTzeRzddJkvrku8uEvL9tLCDEeo&#10;mgZKpuN9mMZ9Z53sesw0Nc/AHcrfyqRM7NNU1bF8nLYk2PFnxHG+vCev3/938woAAP//AwBQSwME&#10;FAAGAAgAAAAhAIrIP+feAAAACQEAAA8AAABkcnMvZG93bnJldi54bWxMj8tOwzAQRfdI/IM1SOxa&#10;p00TlZBJhUBsQZSHxM6Np0lEPI5itwl/z7CC5WiO7j233M2uV2caQ+cZYbVMQBHX3nbcILy9Pi62&#10;oEI0bE3vmRC+KcCuurwoTWH9xC903sdGSQiHwiC0MQ6F1qFuyZmw9AOx/I5+dCbKOTbajmaScNfr&#10;dZLk2pmOpaE1A923VH/tTw7h/en4+bFJnpsHlw2TnxPN7kYjXl/Nd7egIs3xD4ZffVGHSpwO/sQ2&#10;qB4hXWVCIizSrWwSIM3zDagDQr7OQFel/r+g+gEAAP//AwBQSwECLQAUAAYACAAAACEAtoM4kv4A&#10;AADhAQAAEwAAAAAAAAAAAAAAAAAAAAAAW0NvbnRlbnRfVHlwZXNdLnhtbFBLAQItABQABgAIAAAA&#10;IQA4/SH/1gAAAJQBAAALAAAAAAAAAAAAAAAAAC8BAABfcmVscy8ucmVsc1BLAQItABQABgAIAAAA&#10;IQBFVoksFgIAAAcEAAAOAAAAAAAAAAAAAAAAAC4CAABkcnMvZTJvRG9jLnhtbFBLAQItABQABgAI&#10;AAAAIQCKyD/n3gAAAAkBAAAPAAAAAAAAAAAAAAAAAHAEAABkcnMvZG93bnJldi54bWxQSwUGAAAA&#10;AAQABADzAAAAewUAAAAA&#10;" filled="f" stroked="f">
              <v:textbox>
                <w:txbxContent>
                  <w:p w:rsidR="000D1CBC" w:rsidRPr="0094399C" w:rsidRDefault="000D1CBC" w:rsidP="000D1CBC">
                    <w:pPr>
                      <w:pStyle w:val="NoSpacing"/>
                      <w:rPr>
                        <w:rFonts w:ascii="Open Sans" w:hAnsi="Open Sans" w:cs="Open Sans"/>
                        <w:sz w:val="16"/>
                        <w:szCs w:val="16"/>
                      </w:rPr>
                    </w:pPr>
                    <w:r w:rsidRPr="0094399C">
                      <w:rPr>
                        <w:rFonts w:ascii="Open Sans" w:hAnsi="Open Sans" w:cs="Open Sans"/>
                        <w:noProof/>
                        <w:sz w:val="16"/>
                        <w:szCs w:val="16"/>
                        <w:lang w:val="en-US" w:eastAsia="zh-TW"/>
                      </w:rPr>
                      <w:t>Republic of Serbia</w:t>
                    </w:r>
                  </w:p>
                  <w:p w:rsidR="000D1CBC" w:rsidRPr="0094399C" w:rsidRDefault="000D1CBC" w:rsidP="000D1CBC">
                    <w:pPr>
                      <w:pStyle w:val="NoSpacing"/>
                      <w:rPr>
                        <w:rFonts w:ascii="Open Sans" w:hAnsi="Open Sans" w:cs="Open Sans"/>
                        <w:sz w:val="16"/>
                        <w:szCs w:val="16"/>
                      </w:rPr>
                    </w:pPr>
                    <w:r w:rsidRPr="0094399C">
                      <w:rPr>
                        <w:rFonts w:ascii="Open Sans" w:hAnsi="Open Sans" w:cs="Open Sans"/>
                        <w:sz w:val="16"/>
                        <w:szCs w:val="16"/>
                      </w:rPr>
                      <w:t>Autonomous province of Vojvodina</w:t>
                    </w:r>
                  </w:p>
                  <w:p w:rsidR="000D1CBC" w:rsidRPr="0094399C" w:rsidRDefault="000D1CBC" w:rsidP="000D1CBC">
                    <w:pPr>
                      <w:pStyle w:val="NoSpacing"/>
                      <w:rPr>
                        <w:rFonts w:ascii="Open Sans" w:hAnsi="Open Sans" w:cs="Open Sans"/>
                        <w:sz w:val="16"/>
                        <w:szCs w:val="16"/>
                      </w:rPr>
                    </w:pPr>
                    <w:r w:rsidRPr="0094399C">
                      <w:rPr>
                        <w:rFonts w:ascii="Open Sans" w:hAnsi="Open Sans" w:cs="Open Sans"/>
                        <w:sz w:val="16"/>
                        <w:szCs w:val="16"/>
                      </w:rPr>
                      <w:t>Special hospital for psychiatric diseases</w:t>
                    </w:r>
                  </w:p>
                  <w:p w:rsidR="000D1CBC" w:rsidRPr="0094399C" w:rsidRDefault="000D1CBC" w:rsidP="000D1CBC">
                    <w:pPr>
                      <w:pStyle w:val="NoSpacing"/>
                      <w:rPr>
                        <w:rFonts w:ascii="Open Sans" w:hAnsi="Open Sans" w:cs="Open Sans"/>
                        <w:sz w:val="16"/>
                        <w:szCs w:val="16"/>
                        <w:lang w:val="sr-Cyrl-CS"/>
                      </w:rPr>
                    </w:pPr>
                    <w:r w:rsidRPr="0094399C">
                      <w:rPr>
                        <w:rFonts w:ascii="Open Sans" w:hAnsi="Open Sans" w:cs="Open Sans"/>
                        <w:sz w:val="16"/>
                        <w:szCs w:val="16"/>
                        <w:lang w:val="sr-Cyrl-CS"/>
                      </w:rPr>
                      <w:t>„</w:t>
                    </w:r>
                    <w:r w:rsidRPr="0094399C">
                      <w:rPr>
                        <w:rFonts w:ascii="Open Sans" w:hAnsi="Open Sans" w:cs="Open Sans"/>
                        <w:sz w:val="16"/>
                        <w:szCs w:val="16"/>
                      </w:rPr>
                      <w:t>Dr Slavoljub Bakalović</w:t>
                    </w:r>
                    <w:r w:rsidRPr="0094399C">
                      <w:rPr>
                        <w:rFonts w:ascii="Open Sans" w:hAnsi="Open Sans" w:cs="Open Sans"/>
                        <w:sz w:val="16"/>
                        <w:szCs w:val="16"/>
                        <w:lang w:val="sr-Cyrl-CS"/>
                      </w:rPr>
                      <w:t>“</w:t>
                    </w:r>
                  </w:p>
                  <w:p w:rsidR="000D1CBC" w:rsidRPr="0094399C" w:rsidRDefault="000D1CBC" w:rsidP="000D1CBC">
                    <w:pPr>
                      <w:rPr>
                        <w:rFonts w:ascii="Open Sans" w:hAnsi="Open Sans" w:cs="Open Sans"/>
                        <w:sz w:val="16"/>
                        <w:szCs w:val="16"/>
                      </w:rPr>
                    </w:pPr>
                  </w:p>
                </w:txbxContent>
              </v:textbox>
            </v:shape>
          </w:pict>
        </mc:Fallback>
      </mc:AlternateContent>
    </w:r>
    <w:r w:rsidR="000D1CBC">
      <w:rPr>
        <w:noProof/>
        <w:lang w:val="en-US"/>
      </w:rPr>
      <mc:AlternateContent>
        <mc:Choice Requires="wps">
          <w:drawing>
            <wp:anchor distT="0" distB="0" distL="114300" distR="114300" simplePos="0" relativeHeight="251700224" behindDoc="0" locked="0" layoutInCell="1" allowOverlap="1" wp14:anchorId="2511AC8D" wp14:editId="32156FF2">
              <wp:simplePos x="0" y="0"/>
              <wp:positionH relativeFrom="column">
                <wp:posOffset>1715770</wp:posOffset>
              </wp:positionH>
              <wp:positionV relativeFrom="paragraph">
                <wp:posOffset>1153160</wp:posOffset>
              </wp:positionV>
              <wp:extent cx="1005205" cy="1034415"/>
              <wp:effectExtent l="1270" t="635" r="3175" b="31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205" cy="1034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1CBC" w:rsidRDefault="000D1CBC">
                          <w:r>
                            <w:rPr>
                              <w:noProof/>
                              <w:lang w:val="en-US"/>
                            </w:rPr>
                            <w:drawing>
                              <wp:inline distT="0" distB="0" distL="0" distR="0" wp14:anchorId="5DBA9217" wp14:editId="598351D9">
                                <wp:extent cx="819150" cy="942975"/>
                                <wp:effectExtent l="0" t="0" r="0" b="9525"/>
                                <wp:docPr id="271" name="Picture 271"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429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511AC8D" id="Text Box 11" o:spid="_x0000_s1031" type="#_x0000_t202" style="position:absolute;margin-left:135.1pt;margin-top:90.8pt;width:79.15pt;height:81.4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zUktQIAAMEFAAAOAAAAZHJzL2Uyb0RvYy54bWysVG1vmzAQ/j5p/8Hyd4qhJgmopGpDmCZ1&#10;L1K7H+CACdbARrYb0k377zubJEtbTZq28QH55fzcPXfP3dX1vu/QjmsjlMxxdEEw4rJStZDbHH95&#10;KIMFRsYyWbNOSZ7jJ27w9fLtm6txyHisWtXVXCMAkSYbhxy31g5ZGJqq5T0zF2rgEi4bpXtmYau3&#10;Ya3ZCOh9F8aEzMJR6XrQquLGwGkxXeKlx28aXtlPTWO4RV2OITbr/9r/N+4fLq9YttVsaEV1CIP9&#10;RRQ9ExKcnqAKZhl61OIVVC8qrYxq7EWl+lA1jai45wBsIvKCzX3LBu65QHLMcEqT+X+w1cfdZ41E&#10;DbWLMJKshxo98L1Ft2qP4AjyMw4mA7P7AQztHs7B1nM1w52qvhok1aplcstvtFZjy1kN8fmX4dnT&#10;Ccc4kM34QdXghz1a5YH2je5d8iAdCNChTk+n2rhYKueSkCQmCUYV3EXkktIocdGFLDs+H7Sx77jq&#10;kVvkWEPxPTzb3Rk7mR5NnDepStF1XgCdfHYAmNMJOIen7s6F4ev5PSXperFe0IDGs3VASVEEN+WK&#10;BrMymifFZbFaFdEP5zeiWSvqmkvn5qitiP5Z7Q4qn1RxUpdRnagdnAvJ6O1m1Wm0Y6Dt0n+HhJyZ&#10;hc/D8PkCLi8oRTElt3EalLPFPKAlTYJ0ThYBidLbdEZoSovyOaU7Ifm/U0JjjtMkTiY1/ZYb8d9r&#10;bizrhYXp0Yk+x4uTEcucBtey9qW1THTT+iwVLvxfqYByHwvtFetEOsnV7jd73xz02AgbVT+BhLUC&#10;gYFOYfLBolX6G0YjTJEcSxhzGHXvJTRBGlHqho7f0GQew0af32zOb5isACjHFqNpubLToHoctNi2&#10;4OfYdjfQOKXwknYdNsUEfNwG5oRndphpbhCd773Vr8m7/AkAAP//AwBQSwMEFAAGAAgAAAAhAAuD&#10;VBneAAAACwEAAA8AAABkcnMvZG93bnJldi54bWxMj0FOwzAQRfdI3MEaJHbUjklKCHEqVGANFA7g&#10;xiYOicdR7LaB0zOsYDn6T/+/qTeLH9nRzrEPqCBbCWAW22B67BS8vz1dlcBi0mj0GNAq+LIRNs35&#10;Wa0rE074ao+71DEqwVhpBS6lqeI8ts56HVdhskjZR5i9TnTOHTezPlG5H7kUYs297pEWnJ7s1tl2&#10;2B28glL452G4lS/R599Z4bYP4XH6VOryYrm/A5bskv5g+NUndWjIaR8OaCIbFcgbIQmloMzWwIjI&#10;ZVkA2yu4zvMCeFPz/z80PwAAAP//AwBQSwECLQAUAAYACAAAACEAtoM4kv4AAADhAQAAEwAAAAAA&#10;AAAAAAAAAAAAAAAAW0NvbnRlbnRfVHlwZXNdLnhtbFBLAQItABQABgAIAAAAIQA4/SH/1gAAAJQB&#10;AAALAAAAAAAAAAAAAAAAAC8BAABfcmVscy8ucmVsc1BLAQItABQABgAIAAAAIQDOUzUktQIAAMEF&#10;AAAOAAAAAAAAAAAAAAAAAC4CAABkcnMvZTJvRG9jLnhtbFBLAQItABQABgAIAAAAIQALg1QZ3gAA&#10;AAsBAAAPAAAAAAAAAAAAAAAAAA8FAABkcnMvZG93bnJldi54bWxQSwUGAAAAAAQABADzAAAAGgYA&#10;AAAA&#10;" filled="f" stroked="f">
              <v:textbox style="mso-fit-shape-to-text:t">
                <w:txbxContent>
                  <w:p w:rsidR="000D1CBC" w:rsidRDefault="000D1CBC">
                    <w:r>
                      <w:rPr>
                        <w:noProof/>
                        <w:lang w:val="en-US"/>
                      </w:rPr>
                      <w:drawing>
                        <wp:inline distT="0" distB="0" distL="0" distR="0" wp14:anchorId="5DBA9217" wp14:editId="598351D9">
                          <wp:extent cx="819150" cy="942975"/>
                          <wp:effectExtent l="0" t="0" r="0" b="9525"/>
                          <wp:docPr id="271" name="Picture 271"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42975"/>
                                  </a:xfrm>
                                  <a:prstGeom prst="rect">
                                    <a:avLst/>
                                  </a:prstGeom>
                                  <a:noFill/>
                                  <a:ln>
                                    <a:noFill/>
                                  </a:ln>
                                </pic:spPr>
                              </pic:pic>
                            </a:graphicData>
                          </a:graphic>
                        </wp:inline>
                      </w:drawing>
                    </w:r>
                  </w:p>
                </w:txbxContent>
              </v:textbox>
            </v:shape>
          </w:pict>
        </mc:Fallback>
      </mc:AlternateContent>
    </w:r>
    <w:r w:rsidR="000D1CBC">
      <w:rPr>
        <w:noProof/>
        <w:lang w:val="en-US"/>
      </w:rPr>
      <mc:AlternateContent>
        <mc:Choice Requires="wps">
          <w:drawing>
            <wp:anchor distT="0" distB="0" distL="114300" distR="114300" simplePos="0" relativeHeight="251687936" behindDoc="0" locked="0" layoutInCell="1" allowOverlap="1" wp14:anchorId="7B745EC4" wp14:editId="3A648CD3">
              <wp:simplePos x="0" y="0"/>
              <wp:positionH relativeFrom="column">
                <wp:posOffset>2562225</wp:posOffset>
              </wp:positionH>
              <wp:positionV relativeFrom="paragraph">
                <wp:posOffset>1178560</wp:posOffset>
              </wp:positionV>
              <wp:extent cx="2708275" cy="822960"/>
              <wp:effectExtent l="9525" t="6985" r="6350" b="825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275" cy="822960"/>
                      </a:xfrm>
                      <a:prstGeom prst="rect">
                        <a:avLst/>
                      </a:prstGeom>
                      <a:solidFill>
                        <a:srgbClr val="FFFFFF"/>
                      </a:solidFill>
                      <a:ln w="9525">
                        <a:solidFill>
                          <a:srgbClr val="FFFFFF"/>
                        </a:solidFill>
                        <a:miter lim="800000"/>
                        <a:headEnd/>
                        <a:tailEnd/>
                      </a:ln>
                    </wps:spPr>
                    <wps:txbx>
                      <w:txbxContent>
                        <w:p w:rsidR="000D1CBC" w:rsidRPr="00944895" w:rsidRDefault="000D1CBC" w:rsidP="00944895">
                          <w:pPr>
                            <w:pStyle w:val="NoSpacing"/>
                            <w:rPr>
                              <w:rFonts w:ascii="Calibri" w:hAnsi="Calibri" w:cs="Calibri"/>
                              <w:szCs w:val="20"/>
                            </w:rPr>
                          </w:pPr>
                          <w:r w:rsidRPr="00944895">
                            <w:rPr>
                              <w:rFonts w:ascii="Calibri" w:hAnsi="Calibri" w:cs="Calibri"/>
                              <w:noProof/>
                              <w:szCs w:val="20"/>
                              <w:lang w:val="en-US" w:eastAsia="zh-TW"/>
                            </w:rPr>
                            <w:t>Republic of Serbia</w:t>
                          </w:r>
                        </w:p>
                        <w:p w:rsidR="000D1CBC" w:rsidRPr="00944895" w:rsidRDefault="000D1CBC" w:rsidP="00944895">
                          <w:pPr>
                            <w:pStyle w:val="NoSpacing"/>
                            <w:rPr>
                              <w:rFonts w:ascii="Calibri" w:hAnsi="Calibri" w:cs="Calibri"/>
                            </w:rPr>
                          </w:pPr>
                          <w:r w:rsidRPr="00944895">
                            <w:rPr>
                              <w:rFonts w:ascii="Calibri" w:hAnsi="Calibri" w:cs="Calibri"/>
                            </w:rPr>
                            <w:t>Autonomous province of Vojvodina</w:t>
                          </w:r>
                        </w:p>
                        <w:p w:rsidR="000D1CBC" w:rsidRPr="00944895" w:rsidRDefault="000D1CBC" w:rsidP="00944895">
                          <w:pPr>
                            <w:pStyle w:val="NoSpacing"/>
                            <w:rPr>
                              <w:rFonts w:ascii="Calibri" w:hAnsi="Calibri" w:cs="Calibri"/>
                            </w:rPr>
                          </w:pPr>
                          <w:r w:rsidRPr="00944895">
                            <w:rPr>
                              <w:rFonts w:ascii="Calibri" w:hAnsi="Calibri" w:cs="Calibri"/>
                            </w:rPr>
                            <w:t>Special hospital for psychiatric diseases</w:t>
                          </w:r>
                        </w:p>
                        <w:p w:rsidR="000D1CBC" w:rsidRPr="005A164B" w:rsidRDefault="000D1CBC" w:rsidP="00944895">
                          <w:pPr>
                            <w:pStyle w:val="NoSpacing"/>
                            <w:rPr>
                              <w:rFonts w:ascii="Calibri" w:hAnsi="Calibri" w:cs="Calibri"/>
                              <w:sz w:val="22"/>
                              <w:lang w:val="sr-Cyrl-CS"/>
                            </w:rPr>
                          </w:pPr>
                          <w:r w:rsidRPr="00944895">
                            <w:rPr>
                              <w:rFonts w:ascii="Calibri" w:hAnsi="Calibri" w:cs="Calibri"/>
                              <w:lang w:val="sr-Cyrl-CS"/>
                            </w:rPr>
                            <w:t>„</w:t>
                          </w:r>
                          <w:r w:rsidRPr="00944895">
                            <w:rPr>
                              <w:rFonts w:ascii="Calibri" w:hAnsi="Calibri" w:cs="Calibri"/>
                            </w:rPr>
                            <w:t>Dr Slavoljub Bakalović</w:t>
                          </w:r>
                          <w:r w:rsidRPr="005A164B">
                            <w:rPr>
                              <w:rFonts w:ascii="Calibri" w:hAnsi="Calibri" w:cs="Calibri"/>
                              <w:sz w:val="22"/>
                              <w:lang w:val="sr-Cyrl-CS"/>
                            </w:rPr>
                            <w:t>“</w:t>
                          </w:r>
                        </w:p>
                        <w:p w:rsidR="000D1CBC" w:rsidRDefault="000D1CBC" w:rsidP="0094489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45EC4" id="Text Box 9" o:spid="_x0000_s1032" type="#_x0000_t202" style="position:absolute;margin-left:201.75pt;margin-top:92.8pt;width:213.25pt;height:64.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VUKAIAAFcEAAAOAAAAZHJzL2Uyb0RvYy54bWysVFFv2yAQfp+0/4B4X+xYSdNYcaouXaZJ&#10;XTep3Q/AGMdowDEgsbNfvwMnWdS9VfMD4rjj4+777ry6G7QiB+G8BFPR6SSnRBgOjTS7iv542X64&#10;pcQHZhqmwIiKHoWnd+v371a9LUUBHahGOIIgxpe9rWgXgi2zzPNOaOYnYIVBZwtOs4Cm22WNYz2i&#10;a5UVeX6T9eAa64AL7/H0YXTSdcJvW8HDt7b1IhBVUcwtpNWltY5rtl6xcueY7SQ/pcHekIVm0uCj&#10;F6gHFhjZO/kPlJbcgYc2TDjoDNpWcpFqwGqm+atqnjtmRaoFyfH2QpP/f7D86fDdEdlUdEmJYRol&#10;ehFDIB9hIMvITm99iUHPFsPCgMeocqrU20fgPz0xsOmY2Yl756DvBGswu2m8mV1dHXF8BKn7r9Dg&#10;M2wfIAENrdOROiSDIDqqdLwoE1PheFgs8ttiMaeEo++2KJY3SbqMlefb1vnwWYAmcVNRh8ondHZ4&#10;9CFmw8pzSHzMg5LNViqVDLerN8qRA8Mu2aYvFfAqTBnSI0/zYj4S8AYILQO2u5Iaq8jjNzZgpO2T&#10;aVIzBibVuMeUlTnxGKkbSQxDPSTB5md5amiOSKyDsbtxGnHTgftNSY+dXVH/a8+coER9MSjOcjqb&#10;xVFIxmy+KNBw15762sMMR6iKBkrG7SaM47O3Tu46fGlsBwP3KGgrE9dR+TGrU/rYvUmC06TF8bi2&#10;U9Tf/8H6DwAAAP//AwBQSwMEFAAGAAgAAAAhAEfWOBTfAAAACwEAAA8AAABkcnMvZG93bnJldi54&#10;bWxMj0FPg0AQhe8m/ofNmHgxdrcgDaEsTdNoPLd68baFKZCys8BuC/XXO570OHlf3nwv38y2E1cc&#10;fetIw3KhQCCVrmqp1vD58facgvDBUGU6R6jhhh42xf1dbrLKTbTH6yHUgkvIZ0ZDE0KfSenLBq3x&#10;C9cjcXZyozWBz7GW1WgmLredjJRaSWta4g+N6XHXYHk+XKwGN73erMNBRU9f3/Z9tx32p2jQ+vFh&#10;3q5BBJzDHwy/+qwOBTsd3YUqLzoNLypOGOUgTVYgmEhjxeuOGuJlEoEscvl/Q/EDAAD//wMAUEsB&#10;Ai0AFAAGAAgAAAAhALaDOJL+AAAA4QEAABMAAAAAAAAAAAAAAAAAAAAAAFtDb250ZW50X1R5cGVz&#10;XS54bWxQSwECLQAUAAYACAAAACEAOP0h/9YAAACUAQAACwAAAAAAAAAAAAAAAAAvAQAAX3JlbHMv&#10;LnJlbHNQSwECLQAUAAYACAAAACEA+G01VCgCAABXBAAADgAAAAAAAAAAAAAAAAAuAgAAZHJzL2Uy&#10;b0RvYy54bWxQSwECLQAUAAYACAAAACEAR9Y4FN8AAAALAQAADwAAAAAAAAAAAAAAAACCBAAAZHJz&#10;L2Rvd25yZXYueG1sUEsFBgAAAAAEAAQA8wAAAI4FAAAAAA==&#10;" strokecolor="white">
              <v:textbox>
                <w:txbxContent>
                  <w:p w:rsidR="000D1CBC" w:rsidRPr="00944895" w:rsidRDefault="000D1CBC" w:rsidP="00944895">
                    <w:pPr>
                      <w:pStyle w:val="NoSpacing"/>
                      <w:rPr>
                        <w:rFonts w:ascii="Calibri" w:hAnsi="Calibri" w:cs="Calibri"/>
                        <w:szCs w:val="20"/>
                      </w:rPr>
                    </w:pPr>
                    <w:r w:rsidRPr="00944895">
                      <w:rPr>
                        <w:rFonts w:ascii="Calibri" w:hAnsi="Calibri" w:cs="Calibri"/>
                        <w:noProof/>
                        <w:szCs w:val="20"/>
                        <w:lang w:val="en-US" w:eastAsia="zh-TW"/>
                      </w:rPr>
                      <w:t>Republic of Serbia</w:t>
                    </w:r>
                  </w:p>
                  <w:p w:rsidR="000D1CBC" w:rsidRPr="00944895" w:rsidRDefault="000D1CBC" w:rsidP="00944895">
                    <w:pPr>
                      <w:pStyle w:val="NoSpacing"/>
                      <w:rPr>
                        <w:rFonts w:ascii="Calibri" w:hAnsi="Calibri" w:cs="Calibri"/>
                      </w:rPr>
                    </w:pPr>
                    <w:r w:rsidRPr="00944895">
                      <w:rPr>
                        <w:rFonts w:ascii="Calibri" w:hAnsi="Calibri" w:cs="Calibri"/>
                      </w:rPr>
                      <w:t>Autonomous province of Vojvodina</w:t>
                    </w:r>
                  </w:p>
                  <w:p w:rsidR="000D1CBC" w:rsidRPr="00944895" w:rsidRDefault="000D1CBC" w:rsidP="00944895">
                    <w:pPr>
                      <w:pStyle w:val="NoSpacing"/>
                      <w:rPr>
                        <w:rFonts w:ascii="Calibri" w:hAnsi="Calibri" w:cs="Calibri"/>
                      </w:rPr>
                    </w:pPr>
                    <w:r w:rsidRPr="00944895">
                      <w:rPr>
                        <w:rFonts w:ascii="Calibri" w:hAnsi="Calibri" w:cs="Calibri"/>
                      </w:rPr>
                      <w:t>Special hospital for psychiatric diseases</w:t>
                    </w:r>
                  </w:p>
                  <w:p w:rsidR="000D1CBC" w:rsidRPr="005A164B" w:rsidRDefault="000D1CBC" w:rsidP="00944895">
                    <w:pPr>
                      <w:pStyle w:val="NoSpacing"/>
                      <w:rPr>
                        <w:rFonts w:ascii="Calibri" w:hAnsi="Calibri" w:cs="Calibri"/>
                        <w:sz w:val="22"/>
                        <w:lang w:val="sr-Cyrl-CS"/>
                      </w:rPr>
                    </w:pPr>
                    <w:r w:rsidRPr="00944895">
                      <w:rPr>
                        <w:rFonts w:ascii="Calibri" w:hAnsi="Calibri" w:cs="Calibri"/>
                        <w:lang w:val="sr-Cyrl-CS"/>
                      </w:rPr>
                      <w:t>„</w:t>
                    </w:r>
                    <w:r w:rsidRPr="00944895">
                      <w:rPr>
                        <w:rFonts w:ascii="Calibri" w:hAnsi="Calibri" w:cs="Calibri"/>
                      </w:rPr>
                      <w:t>Dr Slavoljub Bakalović</w:t>
                    </w:r>
                    <w:r w:rsidRPr="005A164B">
                      <w:rPr>
                        <w:rFonts w:ascii="Calibri" w:hAnsi="Calibri" w:cs="Calibri"/>
                        <w:sz w:val="22"/>
                        <w:lang w:val="sr-Cyrl-CS"/>
                      </w:rPr>
                      <w:t>“</w:t>
                    </w:r>
                  </w:p>
                  <w:p w:rsidR="000D1CBC" w:rsidRDefault="000D1CBC" w:rsidP="00944895"/>
                </w:txbxContent>
              </v:textbox>
            </v:shape>
          </w:pict>
        </mc:Fallback>
      </mc:AlternateContent>
    </w:r>
    <w:r w:rsidR="000D1CBC">
      <w:rPr>
        <w:noProof/>
        <w:lang w:val="en-US"/>
      </w:rPr>
      <mc:AlternateContent>
        <mc:Choice Requires="wps">
          <w:drawing>
            <wp:anchor distT="0" distB="0" distL="114300" distR="114300" simplePos="0" relativeHeight="251675648" behindDoc="0" locked="0" layoutInCell="1" allowOverlap="1" wp14:anchorId="3E7B4BA6" wp14:editId="1B1206B5">
              <wp:simplePos x="0" y="0"/>
              <wp:positionH relativeFrom="column">
                <wp:posOffset>1715770</wp:posOffset>
              </wp:positionH>
              <wp:positionV relativeFrom="paragraph">
                <wp:posOffset>1153160</wp:posOffset>
              </wp:positionV>
              <wp:extent cx="1005205" cy="1034415"/>
              <wp:effectExtent l="1270" t="635" r="3175"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205" cy="1034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1CBC" w:rsidRDefault="000D1CBC">
                          <w:r>
                            <w:rPr>
                              <w:noProof/>
                              <w:lang w:val="en-US"/>
                            </w:rPr>
                            <w:drawing>
                              <wp:inline distT="0" distB="0" distL="0" distR="0" wp14:anchorId="3A46C784" wp14:editId="4860F0FD">
                                <wp:extent cx="819150" cy="942975"/>
                                <wp:effectExtent l="0" t="0" r="0" b="9525"/>
                                <wp:docPr id="272" name="Picture 27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429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E7B4BA6" id="Text Box 7" o:spid="_x0000_s1033" type="#_x0000_t202" style="position:absolute;margin-left:135.1pt;margin-top:90.8pt;width:79.15pt;height:81.4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N3YtQIAAL8FAAAOAAAAZHJzL2Uyb0RvYy54bWysVG1vmzAQ/j5p/8Hyd4phJgmopGpDmCZ1&#10;L1K7H+CACdbARrYb0k377zubJE1bTZq28QHZvvNz99w9vsurfd+hHddGKJnj6IJgxGWlaiG3Of56&#10;XwYLjIxlsmadkjzHj9zgq+XbN5fjkPFYtaqruUYAIk02DjlurR2yMDRVy3tmLtTAJRgbpXtmYau3&#10;Ya3ZCOh9F8aEzMJR6XrQquLGwGkxGfHS4zcNr+znpjHcoi7HkJv1f+3/G/cPl5cs22o2tKI6pMH+&#10;IoueCQlBT1AFsww9aPEKqheVVkY19qJSfaiaRlTccwA2EXnB5q5lA/dcoDhmOJXJ/D/Y6tPui0ai&#10;zvEcI8l6aNE931t0o/Zo7qozDiYDp7sB3OwejqHLnqkZblX1zSCpVi2TW36ttRpbzmrILnI3w7Or&#10;E45xIJvxo6ohDHuwygPtG9270kExEKBDlx5PnXGpVC4kIUlMEowqsEXkHaVR4mOw7Hh90Ma+56pH&#10;bpFjDa338Gx3a6xLh2VHFxdNqlJ0nW9/J58dgON0AsHhqrO5NHw3f6QkXS/WCxrQeLYOKCmK4Lpc&#10;0WBWRvOkeFesVkX008WNaNaKuubShTkqK6J/1rmDxidNnLRlVCdqB+dSMnq7WXUa7Rgou/TfoSBn&#10;buHzNHwRgMsLSlFMyU2cBuVsMQ9oSZMgnZNFQKL0Jp0RmtKifE7pVkj+75TQmOM0iZNJTb/lRvz3&#10;mhvLemFhdnSiz/Hi5MQyp8G1rH1rLRPdtD4rhUv/qRTQ7mOjvWKdSCe52v1m75/GzEV3at6o+hEk&#10;rBUIDHQKcw8WrdLfMRphhuRYwpDDqPsg4RGkEaVu5PgNTeYxbPS5ZXNuYbICoBxbjKblyk5j6mHQ&#10;YttCnOOzu4aHUwov6aecDs8NpoRndphobgyd773X09xd/gIAAP//AwBQSwMEFAAGAAgAAAAhAAuD&#10;VBneAAAACwEAAA8AAABkcnMvZG93bnJldi54bWxMj0FOwzAQRfdI3MEaJHbUjklKCHEqVGANFA7g&#10;xiYOicdR7LaB0zOsYDn6T/+/qTeLH9nRzrEPqCBbCWAW22B67BS8vz1dlcBi0mj0GNAq+LIRNs35&#10;Wa0rE074ao+71DEqwVhpBS6lqeI8ts56HVdhskjZR5i9TnTOHTezPlG5H7kUYs297pEWnJ7s1tl2&#10;2B28glL452G4lS/R599Z4bYP4XH6VOryYrm/A5bskv5g+NUndWjIaR8OaCIbFcgbIQmloMzWwIjI&#10;ZVkA2yu4zvMCeFPz/z80PwAAAP//AwBQSwECLQAUAAYACAAAACEAtoM4kv4AAADhAQAAEwAAAAAA&#10;AAAAAAAAAAAAAAAAW0NvbnRlbnRfVHlwZXNdLnhtbFBLAQItABQABgAIAAAAIQA4/SH/1gAAAJQB&#10;AAALAAAAAAAAAAAAAAAAAC8BAABfcmVscy8ucmVsc1BLAQItABQABgAIAAAAIQDMxN3YtQIAAL8F&#10;AAAOAAAAAAAAAAAAAAAAAC4CAABkcnMvZTJvRG9jLnhtbFBLAQItABQABgAIAAAAIQALg1QZ3gAA&#10;AAsBAAAPAAAAAAAAAAAAAAAAAA8FAABkcnMvZG93bnJldi54bWxQSwUGAAAAAAQABADzAAAAGgYA&#10;AAAA&#10;" filled="f" stroked="f">
              <v:textbox style="mso-fit-shape-to-text:t">
                <w:txbxContent>
                  <w:p w:rsidR="000D1CBC" w:rsidRDefault="000D1CBC">
                    <w:r>
                      <w:rPr>
                        <w:noProof/>
                        <w:lang w:val="en-US"/>
                      </w:rPr>
                      <w:drawing>
                        <wp:inline distT="0" distB="0" distL="0" distR="0" wp14:anchorId="3A46C784" wp14:editId="4860F0FD">
                          <wp:extent cx="819150" cy="942975"/>
                          <wp:effectExtent l="0" t="0" r="0" b="9525"/>
                          <wp:docPr id="272" name="Picture 27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42975"/>
                                  </a:xfrm>
                                  <a:prstGeom prst="rect">
                                    <a:avLst/>
                                  </a:prstGeom>
                                  <a:noFill/>
                                  <a:ln>
                                    <a:noFill/>
                                  </a:ln>
                                </pic:spPr>
                              </pic:pic>
                            </a:graphicData>
                          </a:graphic>
                        </wp:inline>
                      </w:drawing>
                    </w:r>
                  </w:p>
                </w:txbxContent>
              </v:textbox>
            </v:shape>
          </w:pict>
        </mc:Fallback>
      </mc:AlternateContent>
    </w:r>
    <w:r w:rsidR="000D1CBC">
      <w:rPr>
        <w:noProof/>
        <w:lang w:val="en-US"/>
      </w:rPr>
      <mc:AlternateContent>
        <mc:Choice Requires="wps">
          <w:drawing>
            <wp:anchor distT="0" distB="0" distL="114300" distR="114300" simplePos="0" relativeHeight="251651072" behindDoc="0" locked="0" layoutInCell="1" allowOverlap="1" wp14:anchorId="1D981AB5" wp14:editId="6F455A22">
              <wp:simplePos x="0" y="0"/>
              <wp:positionH relativeFrom="column">
                <wp:posOffset>2562225</wp:posOffset>
              </wp:positionH>
              <wp:positionV relativeFrom="paragraph">
                <wp:posOffset>1178560</wp:posOffset>
              </wp:positionV>
              <wp:extent cx="2708275" cy="822960"/>
              <wp:effectExtent l="9525" t="6985" r="6350" b="82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275" cy="822960"/>
                      </a:xfrm>
                      <a:prstGeom prst="rect">
                        <a:avLst/>
                      </a:prstGeom>
                      <a:solidFill>
                        <a:srgbClr val="FFFFFF"/>
                      </a:solidFill>
                      <a:ln w="9525">
                        <a:solidFill>
                          <a:srgbClr val="FFFFFF"/>
                        </a:solidFill>
                        <a:miter lim="800000"/>
                        <a:headEnd/>
                        <a:tailEnd/>
                      </a:ln>
                    </wps:spPr>
                    <wps:txbx>
                      <w:txbxContent>
                        <w:p w:rsidR="000D1CBC" w:rsidRPr="00944895" w:rsidRDefault="000D1CBC" w:rsidP="00944895">
                          <w:pPr>
                            <w:pStyle w:val="NoSpacing"/>
                            <w:rPr>
                              <w:rFonts w:ascii="Calibri" w:hAnsi="Calibri" w:cs="Calibri"/>
                              <w:szCs w:val="20"/>
                            </w:rPr>
                          </w:pPr>
                          <w:r w:rsidRPr="00944895">
                            <w:rPr>
                              <w:rFonts w:ascii="Calibri" w:hAnsi="Calibri" w:cs="Calibri"/>
                              <w:noProof/>
                              <w:szCs w:val="20"/>
                              <w:lang w:val="en-US" w:eastAsia="zh-TW"/>
                            </w:rPr>
                            <w:t>Republic of Serbia</w:t>
                          </w:r>
                        </w:p>
                        <w:p w:rsidR="000D1CBC" w:rsidRPr="00944895" w:rsidRDefault="000D1CBC" w:rsidP="00944895">
                          <w:pPr>
                            <w:pStyle w:val="NoSpacing"/>
                            <w:rPr>
                              <w:rFonts w:ascii="Calibri" w:hAnsi="Calibri" w:cs="Calibri"/>
                            </w:rPr>
                          </w:pPr>
                          <w:r w:rsidRPr="00944895">
                            <w:rPr>
                              <w:rFonts w:ascii="Calibri" w:hAnsi="Calibri" w:cs="Calibri"/>
                            </w:rPr>
                            <w:t>Autonomous province of Vojvodina</w:t>
                          </w:r>
                        </w:p>
                        <w:p w:rsidR="000D1CBC" w:rsidRPr="00944895" w:rsidRDefault="000D1CBC" w:rsidP="00944895">
                          <w:pPr>
                            <w:pStyle w:val="NoSpacing"/>
                            <w:rPr>
                              <w:rFonts w:ascii="Calibri" w:hAnsi="Calibri" w:cs="Calibri"/>
                            </w:rPr>
                          </w:pPr>
                          <w:r w:rsidRPr="00944895">
                            <w:rPr>
                              <w:rFonts w:ascii="Calibri" w:hAnsi="Calibri" w:cs="Calibri"/>
                            </w:rPr>
                            <w:t>Special hospital for psychiatric diseases</w:t>
                          </w:r>
                        </w:p>
                        <w:p w:rsidR="000D1CBC" w:rsidRPr="005A164B" w:rsidRDefault="000D1CBC" w:rsidP="00944895">
                          <w:pPr>
                            <w:pStyle w:val="NoSpacing"/>
                            <w:rPr>
                              <w:rFonts w:ascii="Calibri" w:hAnsi="Calibri" w:cs="Calibri"/>
                              <w:sz w:val="22"/>
                              <w:lang w:val="sr-Cyrl-CS"/>
                            </w:rPr>
                          </w:pPr>
                          <w:r w:rsidRPr="00944895">
                            <w:rPr>
                              <w:rFonts w:ascii="Calibri" w:hAnsi="Calibri" w:cs="Calibri"/>
                              <w:lang w:val="sr-Cyrl-CS"/>
                            </w:rPr>
                            <w:t>„</w:t>
                          </w:r>
                          <w:r w:rsidRPr="00944895">
                            <w:rPr>
                              <w:rFonts w:ascii="Calibri" w:hAnsi="Calibri" w:cs="Calibri"/>
                            </w:rPr>
                            <w:t>Dr Slavoljub Bakalović</w:t>
                          </w:r>
                          <w:r w:rsidRPr="005A164B">
                            <w:rPr>
                              <w:rFonts w:ascii="Calibri" w:hAnsi="Calibri" w:cs="Calibri"/>
                              <w:sz w:val="22"/>
                              <w:lang w:val="sr-Cyrl-CS"/>
                            </w:rPr>
                            <w:t>“</w:t>
                          </w:r>
                        </w:p>
                        <w:p w:rsidR="000D1CBC" w:rsidRDefault="000D1CBC" w:rsidP="0094489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981AB5" id="Text Box 5" o:spid="_x0000_s1034" type="#_x0000_t202" style="position:absolute;margin-left:201.75pt;margin-top:92.8pt;width:213.25pt;height:64.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lXKAIAAFcEAAAOAAAAZHJzL2Uyb0RvYy54bWysVFFv2yAQfp+0/4B4X+xYSdNYcaouXaZJ&#10;XTep3Q/AGMdowDEgsbNfvwMnWdS9VfMD4rjj4+777ry6G7QiB+G8BFPR6SSnRBgOjTS7iv542X64&#10;pcQHZhqmwIiKHoWnd+v371a9LUUBHahGOIIgxpe9rWgXgi2zzPNOaOYnYIVBZwtOs4Cm22WNYz2i&#10;a5UVeX6T9eAa64AL7/H0YXTSdcJvW8HDt7b1IhBVUcwtpNWltY5rtl6xcueY7SQ/pcHekIVm0uCj&#10;F6gHFhjZO/kPlJbcgYc2TDjoDNpWcpFqwGqm+atqnjtmRaoFyfH2QpP/f7D86fDdEdlUdE6JYRol&#10;ehFDIB9hIPPITm99iUHPFsPCgMeocqrU20fgPz0xsOmY2Yl756DvBGswu2m8mV1dHXF8BKn7r9Dg&#10;M2wfIAENrdOROiSDIDqqdLwoE1PheFgs8ttigSly9N0WxfImSZex8nzbOh8+C9AkbirqUPmEzg6P&#10;PsRsWHkOiY95ULLZSqWS4Xb1RjlyYNgl2/SlAl6FKUP6ii7nxXwk4A0QWgZsdyU1VpHHb2zASNsn&#10;06RmDEyqcY8pK3PiMVI3khiGekiCLc7y1NAckVgHY3fjNOKmA/ebkh47u6L+1545QYn6YlCc5XQ2&#10;i6OQjNl8UaDhrj31tYcZjlAVDZSM200Yx2dvndx1+NLYDgbuUdBWJq6j8mNWp/Sxe5MEp0mL43Ft&#10;p6i//4P1HwAAAP//AwBQSwMEFAAGAAgAAAAhAEfWOBTfAAAACwEAAA8AAABkcnMvZG93bnJldi54&#10;bWxMj0FPg0AQhe8m/ofNmHgxdrcgDaEsTdNoPLd68baFKZCys8BuC/XXO570OHlf3nwv38y2E1cc&#10;fetIw3KhQCCVrmqp1vD58facgvDBUGU6R6jhhh42xf1dbrLKTbTH6yHUgkvIZ0ZDE0KfSenLBq3x&#10;C9cjcXZyozWBz7GW1WgmLredjJRaSWta4g+N6XHXYHk+XKwGN73erMNBRU9f3/Z9tx32p2jQ+vFh&#10;3q5BBJzDHwy/+qwOBTsd3YUqLzoNLypOGOUgTVYgmEhjxeuOGuJlEoEscvl/Q/EDAAD//wMAUEsB&#10;Ai0AFAAGAAgAAAAhALaDOJL+AAAA4QEAABMAAAAAAAAAAAAAAAAAAAAAAFtDb250ZW50X1R5cGVz&#10;XS54bWxQSwECLQAUAAYACAAAACEAOP0h/9YAAACUAQAACwAAAAAAAAAAAAAAAAAvAQAAX3JlbHMv&#10;LnJlbHNQSwECLQAUAAYACAAAACEAzflZVygCAABXBAAADgAAAAAAAAAAAAAAAAAuAgAAZHJzL2Uy&#10;b0RvYy54bWxQSwECLQAUAAYACAAAACEAR9Y4FN8AAAALAQAADwAAAAAAAAAAAAAAAACCBAAAZHJz&#10;L2Rvd25yZXYueG1sUEsFBgAAAAAEAAQA8wAAAI4FAAAAAA==&#10;" strokecolor="white">
              <v:textbox>
                <w:txbxContent>
                  <w:p w:rsidR="000D1CBC" w:rsidRPr="00944895" w:rsidRDefault="000D1CBC" w:rsidP="00944895">
                    <w:pPr>
                      <w:pStyle w:val="NoSpacing"/>
                      <w:rPr>
                        <w:rFonts w:ascii="Calibri" w:hAnsi="Calibri" w:cs="Calibri"/>
                        <w:szCs w:val="20"/>
                      </w:rPr>
                    </w:pPr>
                    <w:r w:rsidRPr="00944895">
                      <w:rPr>
                        <w:rFonts w:ascii="Calibri" w:hAnsi="Calibri" w:cs="Calibri"/>
                        <w:noProof/>
                        <w:szCs w:val="20"/>
                        <w:lang w:val="en-US" w:eastAsia="zh-TW"/>
                      </w:rPr>
                      <w:t>Republic of Serbia</w:t>
                    </w:r>
                  </w:p>
                  <w:p w:rsidR="000D1CBC" w:rsidRPr="00944895" w:rsidRDefault="000D1CBC" w:rsidP="00944895">
                    <w:pPr>
                      <w:pStyle w:val="NoSpacing"/>
                      <w:rPr>
                        <w:rFonts w:ascii="Calibri" w:hAnsi="Calibri" w:cs="Calibri"/>
                      </w:rPr>
                    </w:pPr>
                    <w:r w:rsidRPr="00944895">
                      <w:rPr>
                        <w:rFonts w:ascii="Calibri" w:hAnsi="Calibri" w:cs="Calibri"/>
                      </w:rPr>
                      <w:t>Autonomous province of Vojvodina</w:t>
                    </w:r>
                  </w:p>
                  <w:p w:rsidR="000D1CBC" w:rsidRPr="00944895" w:rsidRDefault="000D1CBC" w:rsidP="00944895">
                    <w:pPr>
                      <w:pStyle w:val="NoSpacing"/>
                      <w:rPr>
                        <w:rFonts w:ascii="Calibri" w:hAnsi="Calibri" w:cs="Calibri"/>
                      </w:rPr>
                    </w:pPr>
                    <w:r w:rsidRPr="00944895">
                      <w:rPr>
                        <w:rFonts w:ascii="Calibri" w:hAnsi="Calibri" w:cs="Calibri"/>
                      </w:rPr>
                      <w:t>Special hospital for psychiatric diseases</w:t>
                    </w:r>
                  </w:p>
                  <w:p w:rsidR="000D1CBC" w:rsidRPr="005A164B" w:rsidRDefault="000D1CBC" w:rsidP="00944895">
                    <w:pPr>
                      <w:pStyle w:val="NoSpacing"/>
                      <w:rPr>
                        <w:rFonts w:ascii="Calibri" w:hAnsi="Calibri" w:cs="Calibri"/>
                        <w:sz w:val="22"/>
                        <w:lang w:val="sr-Cyrl-CS"/>
                      </w:rPr>
                    </w:pPr>
                    <w:r w:rsidRPr="00944895">
                      <w:rPr>
                        <w:rFonts w:ascii="Calibri" w:hAnsi="Calibri" w:cs="Calibri"/>
                        <w:lang w:val="sr-Cyrl-CS"/>
                      </w:rPr>
                      <w:t>„</w:t>
                    </w:r>
                    <w:r w:rsidRPr="00944895">
                      <w:rPr>
                        <w:rFonts w:ascii="Calibri" w:hAnsi="Calibri" w:cs="Calibri"/>
                      </w:rPr>
                      <w:t>Dr Slavoljub Bakalović</w:t>
                    </w:r>
                    <w:r w:rsidRPr="005A164B">
                      <w:rPr>
                        <w:rFonts w:ascii="Calibri" w:hAnsi="Calibri" w:cs="Calibri"/>
                        <w:sz w:val="22"/>
                        <w:lang w:val="sr-Cyrl-CS"/>
                      </w:rPr>
                      <w:t>“</w:t>
                    </w:r>
                  </w:p>
                  <w:p w:rsidR="000D1CBC" w:rsidRDefault="000D1CBC" w:rsidP="00944895"/>
                </w:txbxContent>
              </v:textbox>
            </v:shape>
          </w:pict>
        </mc:Fallback>
      </mc:AlternateContent>
    </w:r>
    <w:r w:rsidR="005D1FDE">
      <w:rPr>
        <w:noProof/>
        <w:lang w:val="en-US"/>
      </w:rPr>
      <mc:AlternateContent>
        <mc:Choice Requires="wps">
          <w:drawing>
            <wp:anchor distT="0" distB="0" distL="114300" distR="114300" simplePos="0" relativeHeight="251638784" behindDoc="0" locked="0" layoutInCell="1" allowOverlap="1" wp14:anchorId="529FB606" wp14:editId="5416DEC4">
              <wp:simplePos x="0" y="0"/>
              <wp:positionH relativeFrom="column">
                <wp:posOffset>-922465</wp:posOffset>
              </wp:positionH>
              <wp:positionV relativeFrom="paragraph">
                <wp:posOffset>-374015</wp:posOffset>
              </wp:positionV>
              <wp:extent cx="7563485" cy="0"/>
              <wp:effectExtent l="0" t="0" r="0" b="19050"/>
              <wp:wrapNone/>
              <wp:docPr id="1" name="Straight Connector 1"/>
              <wp:cNvGraphicFramePr/>
              <a:graphic xmlns:a="http://schemas.openxmlformats.org/drawingml/2006/main">
                <a:graphicData uri="http://schemas.microsoft.com/office/word/2010/wordprocessingShape">
                  <wps:wsp>
                    <wps:cNvCnPr/>
                    <wps:spPr>
                      <a:xfrm>
                        <a:off x="0" y="0"/>
                        <a:ext cx="7563485" cy="0"/>
                      </a:xfrm>
                      <a:prstGeom prst="line">
                        <a:avLst/>
                      </a:prstGeom>
                      <a:ln w="19050">
                        <a:solidFill>
                          <a:schemeClr val="bg1">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40683E" id="Straight Connector 1" o:spid="_x0000_s1026" style="position:absolute;z-index:251638784;visibility:visible;mso-wrap-style:square;mso-wrap-distance-left:9pt;mso-wrap-distance-top:0;mso-wrap-distance-right:9pt;mso-wrap-distance-bottom:0;mso-position-horizontal:absolute;mso-position-horizontal-relative:text;mso-position-vertical:absolute;mso-position-vertical-relative:text" from="-72.65pt,-29.45pt" to="522.9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lYv+AEAAEkEAAAOAAAAZHJzL2Uyb0RvYy54bWysVE2P2yAQvVfqf0DcGzvbZru14uwh0fbS&#10;j2i3/QEEg40EDAI2Tv59B3Cc3fbUqjkQPt6bmfcYvL4/GU2OwgcFtqXLRU2JsBw6ZfuW/vzx8O6O&#10;khCZ7ZgGK1p6FoHeb96+WY+uETcwgO6EJxjEhmZ0LR1idE1VBT4Iw8ICnLB4KMEbFnHp+6rzbMTo&#10;Rlc3dX1bjeA754GLEHB3Vw7pJseXUvD4XcogItEtxdpiHn0eD2msNmvW9J65QfGpDPYPVRimLCad&#10;Q+1YZOTZqz9CGcU9BJBxwcFUIKXiImtANcv6NzVPA3Mia0FzgpttCv8vLP923HuiOrw7SiwzeEVP&#10;0TPVD5FswVo0EDxZJp9GFxqEb+3eT6vg9j6JPklv0j/KIafs7Xn2Vpwi4bj5cXX7/sPdihJ+Oauu&#10;ROdD/CzAkDRpqVY2yWYNO34JEZMh9AJJ29qSEQv+VK/qDAugVfegtE6HuXXEVntyZHjph36ZMfrZ&#10;fIWu7K1q/CVJGHeGl9XLSCnljoWhkDqcTRxtEZzsKAbkWTxrUWp7FBINRckl8ZyghGGcCxuzoZhd&#10;W0QnmsTqZ+KkKr2Bq5DXxAmfqCK3+d+QZ0bODDbOZKMs+OLp6+zxdClZFvzFgaI7WXCA7pxbI1uD&#10;/Zodnd5WehAv15l+/QJsfgEAAP//AwBQSwMEFAAGAAgAAAAhAHHO7bbjAAAADQEAAA8AAABkcnMv&#10;ZG93bnJldi54bWxMj0FLw0AQhe+C/2EZwYu0u7GJbWM2RYReRMG2QvG2zY7ZYHY2ZDdt+u/dgqC3&#10;mXmPN98rVqNt2RF73ziSkEwFMKTK6YZqCR+79WQBzAdFWrWOUMIZPazK66tC5dqdaIPHbahZDCGf&#10;KwkmhC7n3FcGrfJT1yFF7cv1VoW49jXXvTrFcNvyeyEeuFUNxQ9GdfhssPreDlbCZrhbvu1N/f6S&#10;2rD7nIv16+ycSHl7Mz49Ags4hj8zXPAjOpSR6eAG0p61EiZJms2iN07ZYgnsYhFpFuscfk+8LPj/&#10;FuUPAAAA//8DAFBLAQItABQABgAIAAAAIQC2gziS/gAAAOEBAAATAAAAAAAAAAAAAAAAAAAAAABb&#10;Q29udGVudF9UeXBlc10ueG1sUEsBAi0AFAAGAAgAAAAhADj9If/WAAAAlAEAAAsAAAAAAAAAAAAA&#10;AAAALwEAAF9yZWxzLy5yZWxzUEsBAi0AFAAGAAgAAAAhAC+aVi/4AQAASQQAAA4AAAAAAAAAAAAA&#10;AAAALgIAAGRycy9lMm9Eb2MueG1sUEsBAi0AFAAGAAgAAAAhAHHO7bbjAAAADQEAAA8AAAAAAAAA&#10;AAAAAAAAUgQAAGRycy9kb3ducmV2LnhtbFBLBQYAAAAABAAEAPMAAABiBQAAAAA=&#10;" strokecolor="#7f7f7f [1612]" strokeweight="1.5pt">
              <v:stroke dashstyle="dash"/>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238" w:rsidRDefault="00100238" w:rsidP="00C63F61">
      <w:pPr>
        <w:spacing w:after="0" w:line="240" w:lineRule="auto"/>
      </w:pPr>
      <w:r>
        <w:separator/>
      </w:r>
    </w:p>
  </w:footnote>
  <w:footnote w:type="continuationSeparator" w:id="0">
    <w:p w:rsidR="00100238" w:rsidRDefault="00100238" w:rsidP="00C63F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F61" w:rsidRPr="0094399C" w:rsidRDefault="000D1CBC" w:rsidP="0094399C">
    <w:pPr>
      <w:pStyle w:val="Header"/>
      <w:tabs>
        <w:tab w:val="clear" w:pos="4513"/>
        <w:tab w:val="clear" w:pos="9026"/>
        <w:tab w:val="left" w:pos="2433"/>
      </w:tabs>
      <w:rPr>
        <w:rFonts w:ascii="Open Sans" w:hAnsi="Open Sans" w:cs="Open Sans"/>
        <w:lang w:eastAsia="en-GB"/>
      </w:rPr>
    </w:pPr>
    <w:r w:rsidRPr="0094399C">
      <w:rPr>
        <w:rFonts w:ascii="Open Sans" w:hAnsi="Open Sans" w:cs="Open Sans"/>
        <w:noProof/>
        <w:lang w:val="en-US"/>
      </w:rPr>
      <mc:AlternateContent>
        <mc:Choice Requires="wps">
          <w:drawing>
            <wp:anchor distT="0" distB="0" distL="114300" distR="114300" simplePos="0" relativeHeight="251663360" behindDoc="0" locked="0" layoutInCell="1" allowOverlap="1" wp14:anchorId="6FE13774" wp14:editId="2E196271">
              <wp:simplePos x="0" y="0"/>
              <wp:positionH relativeFrom="column">
                <wp:posOffset>-676275</wp:posOffset>
              </wp:positionH>
              <wp:positionV relativeFrom="paragraph">
                <wp:posOffset>135146</wp:posOffset>
              </wp:positionV>
              <wp:extent cx="4117975" cy="87630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7975" cy="876300"/>
                      </a:xfrm>
                      <a:prstGeom prst="rect">
                        <a:avLst/>
                      </a:prstGeom>
                      <a:noFill/>
                      <a:ln w="9525">
                        <a:noFill/>
                        <a:miter lim="800000"/>
                        <a:headEnd/>
                        <a:tailEnd/>
                      </a:ln>
                    </wps:spPr>
                    <wps:txbx>
                      <w:txbxContent>
                        <w:p w:rsidR="000D1CBC" w:rsidRDefault="000D1CBC" w:rsidP="000D1CBC">
                          <w:r>
                            <w:rPr>
                              <w:noProof/>
                              <w:lang w:val="en-US"/>
                            </w:rPr>
                            <w:drawing>
                              <wp:inline distT="0" distB="0" distL="0" distR="0" wp14:anchorId="26987666" wp14:editId="4202FAF9">
                                <wp:extent cx="4209394" cy="982650"/>
                                <wp:effectExtent l="0" t="0" r="1270" b="8255"/>
                                <wp:docPr id="269" name="Picture 269" descr="C:\Users\Filip Kalnak\Desktop\sigla_logo_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ip Kalnak\Desktop\sigla_logo_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964" cy="99095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E13774" id="_x0000_t202" coordsize="21600,21600" o:spt="202" path="m,l,21600r21600,l21600,xe">
              <v:stroke joinstyle="miter"/>
              <v:path gradientshapeok="t" o:connecttype="rect"/>
            </v:shapetype>
            <v:shape id="_x0000_s1027" type="#_x0000_t202" style="position:absolute;margin-left:-53.25pt;margin-top:10.65pt;width:324.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3fACwIAAPMDAAAOAAAAZHJzL2Uyb0RvYy54bWysU9tu2zAMfR+wfxD0vtjJkqYx4hRduw4D&#10;ugvQ7gMYWY6FSaImKbG7ry8lp2mwvQ3TgyCJ5CHPIbW+GoxmB+mDQlvz6aTkTFqBjbK7mv94vHt3&#10;yVmIYBvQaGXNn2TgV5u3b9a9q+QMO9SN9IxAbKh6V/MuRlcVRRCdNBAm6KQlY4veQKSr3xWNh57Q&#10;jS5mZXlR9Ogb51HIEOj1djTyTcZvWynit7YNMjJdc6ot5t3nfZv2YrOGaufBdUocy4B/qMKAspT0&#10;BHULEdjeq7+gjBIeA7ZxItAU2LZKyMyB2EzLP9g8dOBk5kLiBHeSKfw/WPH18N0z1dR8RvJYMNSj&#10;RzlE9gEHNkvy9C5U5PXgyC8O9ExtzlSDu0fxMzCLNx3Ynbz2HvtOQkPlTVNkcRY64oQEsu2/YENp&#10;YB8xAw2tN0k7UoMROtXxdGpNKkXQ43w6Xa6WC84E2S6XF+/L3LsCqpdo50P8JNGwdKi5p9ZndDjc&#10;h5iqgerFJSWzeKe0zu3XlvU1Xy1mixxwZjEq0nRqZShnmdY4L4nkR9vk4AhKj2dKoO2RdSI6Uo7D&#10;diDHJMUWmyfi73GcQvo1dOjQ/+aspwmsefi1By85058tabiazudpZPNlvlimBvlzy/bcAlYQVM0j&#10;Z+PxJuYxH7lek9atyjK8VnKslSYrq3P8BWl0z+/Z6/Wvbp4BAAD//wMAUEsDBBQABgAIAAAAIQDT&#10;hmx63wAAAAsBAAAPAAAAZHJzL2Rvd25yZXYueG1sTI/LTsMwEEX3SP0Ha5C6a+2kTUVDnKoCdQui&#10;PCR2bjxNIuJxFLtN+HuGFSxHc3TvucVucp244hBaTxqSpQKBVHnbUq3h7fWwuAMRoiFrOk+o4RsD&#10;7MrZTWFy60d6wesx1oJDKORGQxNjn0sZqgadCUvfI/Hv7AdnIp9DLe1gRg53nUyV2khnWuKGxvT4&#10;0GD1dbw4De9P58+PtXquH13Wj35SktxWaj2/nfb3ICJO8Q+GX31Wh5KdTv5CNohOwyJRm4xZDWmy&#10;AsFEtk553YnRbLsCWRby/4byBwAA//8DAFBLAQItABQABgAIAAAAIQC2gziS/gAAAOEBAAATAAAA&#10;AAAAAAAAAAAAAAAAAABbQ29udGVudF9UeXBlc10ueG1sUEsBAi0AFAAGAAgAAAAhADj9If/WAAAA&#10;lAEAAAsAAAAAAAAAAAAAAAAALwEAAF9yZWxzLy5yZWxzUEsBAi0AFAAGAAgAAAAhAN5Xd8ALAgAA&#10;8wMAAA4AAAAAAAAAAAAAAAAALgIAAGRycy9lMm9Eb2MueG1sUEsBAi0AFAAGAAgAAAAhANOGbHrf&#10;AAAACwEAAA8AAAAAAAAAAAAAAAAAZQQAAGRycy9kb3ducmV2LnhtbFBLBQYAAAAABAAEAPMAAABx&#10;BQAAAAA=&#10;" filled="f" stroked="f">
              <v:textbox>
                <w:txbxContent>
                  <w:p w:rsidR="000D1CBC" w:rsidRDefault="000D1CBC" w:rsidP="000D1CBC">
                    <w:r>
                      <w:rPr>
                        <w:noProof/>
                        <w:lang w:val="en-US"/>
                      </w:rPr>
                      <w:drawing>
                        <wp:inline distT="0" distB="0" distL="0" distR="0" wp14:anchorId="26987666" wp14:editId="4202FAF9">
                          <wp:extent cx="4209394" cy="982650"/>
                          <wp:effectExtent l="0" t="0" r="1270" b="8255"/>
                          <wp:docPr id="269" name="Picture 269" descr="C:\Users\Filip Kalnak\Desktop\sigla_logo_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ip Kalnak\Desktop\sigla_logo_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964" cy="990954"/>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46D42"/>
    <w:multiLevelType w:val="hybridMultilevel"/>
    <w:tmpl w:val="B84CA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2817A5"/>
    <w:multiLevelType w:val="hybridMultilevel"/>
    <w:tmpl w:val="C88C25C0"/>
    <w:lvl w:ilvl="0" w:tplc="C0A05398">
      <w:start w:val="1"/>
      <w:numFmt w:val="decimal"/>
      <w:lvlText w:val="%1."/>
      <w:lvlJc w:val="left"/>
      <w:pPr>
        <w:ind w:left="720" w:hanging="360"/>
      </w:pPr>
      <w:rPr>
        <w:rFonts w:ascii="Open Sans"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591459D"/>
    <w:multiLevelType w:val="hybridMultilevel"/>
    <w:tmpl w:val="966C3D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7ED4C68"/>
    <w:multiLevelType w:val="hybridMultilevel"/>
    <w:tmpl w:val="06AE9E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94545FE"/>
    <w:multiLevelType w:val="hybridMultilevel"/>
    <w:tmpl w:val="DF1E4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EF961DC"/>
    <w:multiLevelType w:val="hybridMultilevel"/>
    <w:tmpl w:val="EB5CB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0C00946"/>
    <w:multiLevelType w:val="hybridMultilevel"/>
    <w:tmpl w:val="F52AD24C"/>
    <w:lvl w:ilvl="0" w:tplc="C0A05398">
      <w:start w:val="1"/>
      <w:numFmt w:val="decimal"/>
      <w:lvlText w:val="%1."/>
      <w:lvlJc w:val="left"/>
      <w:pPr>
        <w:ind w:left="720" w:hanging="360"/>
      </w:pPr>
      <w:rPr>
        <w:rFonts w:ascii="Open Sans"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3907662"/>
    <w:multiLevelType w:val="hybridMultilevel"/>
    <w:tmpl w:val="CE60B472"/>
    <w:lvl w:ilvl="0" w:tplc="0809000F">
      <w:start w:val="1"/>
      <w:numFmt w:val="decimal"/>
      <w:lvlText w:val="%1."/>
      <w:lvlJc w:val="left"/>
      <w:pPr>
        <w:ind w:left="1173" w:hanging="360"/>
      </w:pPr>
    </w:lvl>
    <w:lvl w:ilvl="1" w:tplc="08090019" w:tentative="1">
      <w:start w:val="1"/>
      <w:numFmt w:val="lowerLetter"/>
      <w:lvlText w:val="%2."/>
      <w:lvlJc w:val="left"/>
      <w:pPr>
        <w:ind w:left="1893" w:hanging="360"/>
      </w:pPr>
    </w:lvl>
    <w:lvl w:ilvl="2" w:tplc="0809001B" w:tentative="1">
      <w:start w:val="1"/>
      <w:numFmt w:val="lowerRoman"/>
      <w:lvlText w:val="%3."/>
      <w:lvlJc w:val="right"/>
      <w:pPr>
        <w:ind w:left="2613" w:hanging="180"/>
      </w:pPr>
    </w:lvl>
    <w:lvl w:ilvl="3" w:tplc="0809000F" w:tentative="1">
      <w:start w:val="1"/>
      <w:numFmt w:val="decimal"/>
      <w:lvlText w:val="%4."/>
      <w:lvlJc w:val="left"/>
      <w:pPr>
        <w:ind w:left="3333" w:hanging="360"/>
      </w:pPr>
    </w:lvl>
    <w:lvl w:ilvl="4" w:tplc="08090019" w:tentative="1">
      <w:start w:val="1"/>
      <w:numFmt w:val="lowerLetter"/>
      <w:lvlText w:val="%5."/>
      <w:lvlJc w:val="left"/>
      <w:pPr>
        <w:ind w:left="4053" w:hanging="360"/>
      </w:pPr>
    </w:lvl>
    <w:lvl w:ilvl="5" w:tplc="0809001B" w:tentative="1">
      <w:start w:val="1"/>
      <w:numFmt w:val="lowerRoman"/>
      <w:lvlText w:val="%6."/>
      <w:lvlJc w:val="right"/>
      <w:pPr>
        <w:ind w:left="4773" w:hanging="180"/>
      </w:pPr>
    </w:lvl>
    <w:lvl w:ilvl="6" w:tplc="0809000F" w:tentative="1">
      <w:start w:val="1"/>
      <w:numFmt w:val="decimal"/>
      <w:lvlText w:val="%7."/>
      <w:lvlJc w:val="left"/>
      <w:pPr>
        <w:ind w:left="5493" w:hanging="360"/>
      </w:pPr>
    </w:lvl>
    <w:lvl w:ilvl="7" w:tplc="08090019" w:tentative="1">
      <w:start w:val="1"/>
      <w:numFmt w:val="lowerLetter"/>
      <w:lvlText w:val="%8."/>
      <w:lvlJc w:val="left"/>
      <w:pPr>
        <w:ind w:left="6213" w:hanging="360"/>
      </w:pPr>
    </w:lvl>
    <w:lvl w:ilvl="8" w:tplc="0809001B" w:tentative="1">
      <w:start w:val="1"/>
      <w:numFmt w:val="lowerRoman"/>
      <w:lvlText w:val="%9."/>
      <w:lvlJc w:val="right"/>
      <w:pPr>
        <w:ind w:left="6933" w:hanging="180"/>
      </w:pPr>
    </w:lvl>
  </w:abstractNum>
  <w:abstractNum w:abstractNumId="8">
    <w:nsid w:val="647F306D"/>
    <w:multiLevelType w:val="hybridMultilevel"/>
    <w:tmpl w:val="2BFCEF74"/>
    <w:lvl w:ilvl="0" w:tplc="C0A05398">
      <w:start w:val="1"/>
      <w:numFmt w:val="decimal"/>
      <w:lvlText w:val="%1."/>
      <w:lvlJc w:val="left"/>
      <w:pPr>
        <w:ind w:left="720" w:hanging="360"/>
      </w:pPr>
      <w:rPr>
        <w:rFonts w:ascii="Open Sans"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1DF3599"/>
    <w:multiLevelType w:val="hybridMultilevel"/>
    <w:tmpl w:val="E9224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2C24009"/>
    <w:multiLevelType w:val="hybridMultilevel"/>
    <w:tmpl w:val="0824A0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4B04484"/>
    <w:multiLevelType w:val="hybridMultilevel"/>
    <w:tmpl w:val="BC34CB12"/>
    <w:lvl w:ilvl="0" w:tplc="C0A05398">
      <w:start w:val="1"/>
      <w:numFmt w:val="decimal"/>
      <w:lvlText w:val="%1."/>
      <w:lvlJc w:val="left"/>
      <w:pPr>
        <w:ind w:left="720" w:hanging="360"/>
      </w:pPr>
      <w:rPr>
        <w:rFonts w:ascii="Open Sans"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8"/>
  </w:num>
  <w:num w:numId="5">
    <w:abstractNumId w:val="10"/>
  </w:num>
  <w:num w:numId="6">
    <w:abstractNumId w:val="2"/>
  </w:num>
  <w:num w:numId="7">
    <w:abstractNumId w:val="1"/>
  </w:num>
  <w:num w:numId="8">
    <w:abstractNumId w:val="6"/>
  </w:num>
  <w:num w:numId="9">
    <w:abstractNumId w:val="11"/>
  </w:num>
  <w:num w:numId="10">
    <w:abstractNumId w:val="9"/>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929"/>
    <w:rsid w:val="00015B9F"/>
    <w:rsid w:val="00026FE0"/>
    <w:rsid w:val="00035B33"/>
    <w:rsid w:val="00077319"/>
    <w:rsid w:val="000A1181"/>
    <w:rsid w:val="000A7E9F"/>
    <w:rsid w:val="000B7153"/>
    <w:rsid w:val="000D1CBC"/>
    <w:rsid w:val="00100238"/>
    <w:rsid w:val="00176212"/>
    <w:rsid w:val="001E0D67"/>
    <w:rsid w:val="0022094E"/>
    <w:rsid w:val="00254993"/>
    <w:rsid w:val="00262FCA"/>
    <w:rsid w:val="002946F7"/>
    <w:rsid w:val="002D332D"/>
    <w:rsid w:val="00305782"/>
    <w:rsid w:val="00343B7E"/>
    <w:rsid w:val="00384B5B"/>
    <w:rsid w:val="003B015A"/>
    <w:rsid w:val="003F62AE"/>
    <w:rsid w:val="004832B3"/>
    <w:rsid w:val="0048708F"/>
    <w:rsid w:val="004B4A13"/>
    <w:rsid w:val="004B50DF"/>
    <w:rsid w:val="004C7769"/>
    <w:rsid w:val="005D1FDE"/>
    <w:rsid w:val="00611B28"/>
    <w:rsid w:val="00620E7E"/>
    <w:rsid w:val="006A336F"/>
    <w:rsid w:val="00772B92"/>
    <w:rsid w:val="00781EF0"/>
    <w:rsid w:val="007E55A7"/>
    <w:rsid w:val="0082471E"/>
    <w:rsid w:val="0084588F"/>
    <w:rsid w:val="00870912"/>
    <w:rsid w:val="008A3E3D"/>
    <w:rsid w:val="0094399C"/>
    <w:rsid w:val="00A0771E"/>
    <w:rsid w:val="00A24ADE"/>
    <w:rsid w:val="00A76597"/>
    <w:rsid w:val="00A9190A"/>
    <w:rsid w:val="00A93334"/>
    <w:rsid w:val="00B06E69"/>
    <w:rsid w:val="00B312BF"/>
    <w:rsid w:val="00B736FB"/>
    <w:rsid w:val="00B94AEC"/>
    <w:rsid w:val="00BF6929"/>
    <w:rsid w:val="00C54E8E"/>
    <w:rsid w:val="00C63F61"/>
    <w:rsid w:val="00C70661"/>
    <w:rsid w:val="00D33745"/>
    <w:rsid w:val="00D5502A"/>
    <w:rsid w:val="00DB5CDF"/>
    <w:rsid w:val="00DB64BA"/>
    <w:rsid w:val="00DF5899"/>
    <w:rsid w:val="00E44D61"/>
    <w:rsid w:val="00EA0B74"/>
    <w:rsid w:val="00ED3C8B"/>
    <w:rsid w:val="00FB6924"/>
    <w:rsid w:val="00FD4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634E73-F562-4FD2-A913-07245A59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CBC"/>
  </w:style>
  <w:style w:type="paragraph" w:styleId="Heading1">
    <w:name w:val="heading 1"/>
    <w:basedOn w:val="Normal"/>
    <w:next w:val="Normal"/>
    <w:link w:val="Heading1Char"/>
    <w:uiPriority w:val="9"/>
    <w:qFormat/>
    <w:rsid w:val="000D1CBC"/>
    <w:pPr>
      <w:keepNext/>
      <w:outlineLvl w:val="0"/>
    </w:pPr>
    <w:rPr>
      <w:b/>
    </w:rPr>
  </w:style>
  <w:style w:type="paragraph" w:styleId="Heading2">
    <w:name w:val="heading 2"/>
    <w:basedOn w:val="Normal"/>
    <w:next w:val="Normal"/>
    <w:link w:val="Heading2Char"/>
    <w:uiPriority w:val="9"/>
    <w:unhideWhenUsed/>
    <w:qFormat/>
    <w:rsid w:val="00176212"/>
    <w:pPr>
      <w:keepNext/>
      <w:jc w:val="center"/>
      <w:outlineLvl w:val="1"/>
    </w:pPr>
    <w:rPr>
      <w:rFonts w:ascii="Open Sans" w:hAnsi="Open Sans" w:cs="Open Sans"/>
      <w:b/>
      <w:sz w:val="28"/>
    </w:rPr>
  </w:style>
  <w:style w:type="paragraph" w:styleId="Heading3">
    <w:name w:val="heading 3"/>
    <w:basedOn w:val="Normal"/>
    <w:next w:val="Normal"/>
    <w:link w:val="Heading3Char"/>
    <w:uiPriority w:val="9"/>
    <w:unhideWhenUsed/>
    <w:qFormat/>
    <w:rsid w:val="00176212"/>
    <w:pPr>
      <w:keepNext/>
      <w:outlineLvl w:val="2"/>
    </w:pPr>
    <w:rPr>
      <w:rFonts w:ascii="Open Sans" w:hAnsi="Open Sans" w:cs="Open Sans"/>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C63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3F61"/>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paragraph" w:styleId="BodyText">
    <w:name w:val="Body Text"/>
    <w:basedOn w:val="Normal"/>
    <w:link w:val="BodyTextChar"/>
    <w:uiPriority w:val="99"/>
    <w:unhideWhenUsed/>
    <w:rsid w:val="000D1CBC"/>
    <w:pPr>
      <w:jc w:val="both"/>
    </w:pPr>
    <w:rPr>
      <w:rFonts w:ascii="Open Sans" w:hAnsi="Open Sans" w:cs="Open Sans"/>
      <w:sz w:val="24"/>
      <w:lang w:val="la-Latn"/>
    </w:rPr>
  </w:style>
  <w:style w:type="character" w:customStyle="1" w:styleId="BodyTextChar">
    <w:name w:val="Body Text Char"/>
    <w:basedOn w:val="DefaultParagraphFont"/>
    <w:link w:val="BodyText"/>
    <w:uiPriority w:val="99"/>
    <w:rsid w:val="000D1CBC"/>
    <w:rPr>
      <w:rFonts w:ascii="Open Sans" w:hAnsi="Open Sans" w:cs="Open Sans"/>
      <w:sz w:val="24"/>
      <w:lang w:val="la-Latn"/>
    </w:rPr>
  </w:style>
  <w:style w:type="paragraph" w:styleId="NoSpacing">
    <w:name w:val="No Spacing"/>
    <w:uiPriority w:val="1"/>
    <w:qFormat/>
    <w:rsid w:val="000D1CBC"/>
    <w:pPr>
      <w:spacing w:after="0" w:line="240" w:lineRule="auto"/>
    </w:pPr>
    <w:rPr>
      <w:rFonts w:ascii="Times New Roman" w:eastAsia="Times New Roman" w:hAnsi="Times New Roman" w:cs="Times New Roman"/>
      <w:sz w:val="24"/>
      <w:szCs w:val="24"/>
      <w:lang w:val="sr-Latn-CS" w:eastAsia="sr-Latn-CS"/>
    </w:rPr>
  </w:style>
  <w:style w:type="character" w:customStyle="1" w:styleId="Heading1Char">
    <w:name w:val="Heading 1 Char"/>
    <w:basedOn w:val="DefaultParagraphFont"/>
    <w:link w:val="Heading1"/>
    <w:uiPriority w:val="9"/>
    <w:rsid w:val="000D1CBC"/>
    <w:rPr>
      <w:b/>
    </w:rPr>
  </w:style>
  <w:style w:type="paragraph" w:styleId="ListParagraph">
    <w:name w:val="List Paragraph"/>
    <w:basedOn w:val="Normal"/>
    <w:uiPriority w:val="34"/>
    <w:qFormat/>
    <w:rsid w:val="000D1CBC"/>
    <w:pPr>
      <w:ind w:left="720"/>
      <w:contextualSpacing/>
    </w:pPr>
  </w:style>
  <w:style w:type="paragraph" w:styleId="BodyText2">
    <w:name w:val="Body Text 2"/>
    <w:basedOn w:val="Normal"/>
    <w:link w:val="BodyText2Char"/>
    <w:uiPriority w:val="99"/>
    <w:unhideWhenUsed/>
    <w:rsid w:val="000D1CBC"/>
    <w:pPr>
      <w:jc w:val="both"/>
    </w:pPr>
    <w:rPr>
      <w:rFonts w:ascii="Open Sans" w:hAnsi="Open Sans" w:cs="Open Sans"/>
    </w:rPr>
  </w:style>
  <w:style w:type="character" w:customStyle="1" w:styleId="BodyText2Char">
    <w:name w:val="Body Text 2 Char"/>
    <w:basedOn w:val="DefaultParagraphFont"/>
    <w:link w:val="BodyText2"/>
    <w:uiPriority w:val="99"/>
    <w:rsid w:val="000D1CBC"/>
    <w:rPr>
      <w:rFonts w:ascii="Open Sans" w:hAnsi="Open Sans" w:cs="Open Sans"/>
    </w:rPr>
  </w:style>
  <w:style w:type="character" w:customStyle="1" w:styleId="Heading2Char">
    <w:name w:val="Heading 2 Char"/>
    <w:basedOn w:val="DefaultParagraphFont"/>
    <w:link w:val="Heading2"/>
    <w:uiPriority w:val="9"/>
    <w:rsid w:val="00176212"/>
    <w:rPr>
      <w:rFonts w:ascii="Open Sans" w:hAnsi="Open Sans" w:cs="Open Sans"/>
      <w:b/>
      <w:sz w:val="28"/>
    </w:rPr>
  </w:style>
  <w:style w:type="character" w:customStyle="1" w:styleId="Heading3Char">
    <w:name w:val="Heading 3 Char"/>
    <w:basedOn w:val="DefaultParagraphFont"/>
    <w:link w:val="Heading3"/>
    <w:uiPriority w:val="9"/>
    <w:rsid w:val="00176212"/>
    <w:rPr>
      <w:rFonts w:ascii="Open Sans" w:hAnsi="Open Sans" w:cs="Open Sans"/>
      <w:b/>
      <w:sz w:val="24"/>
    </w:rPr>
  </w:style>
  <w:style w:type="table" w:styleId="TableGrid">
    <w:name w:val="Table Grid"/>
    <w:basedOn w:val="TableNormal"/>
    <w:uiPriority w:val="39"/>
    <w:rsid w:val="003F62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891</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 Bardos</dc:creator>
  <cp:lastModifiedBy>Windows User</cp:lastModifiedBy>
  <cp:revision>4</cp:revision>
  <cp:lastPrinted>2017-06-30T09:55:00Z</cp:lastPrinted>
  <dcterms:created xsi:type="dcterms:W3CDTF">2017-07-04T07:19:00Z</dcterms:created>
  <dcterms:modified xsi:type="dcterms:W3CDTF">2018-04-05T08:07:00Z</dcterms:modified>
</cp:coreProperties>
</file>